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trike/>
        </w:rPr>
      </w:pPr>
      <w:r>
        <w:rPr>
          <w:strike/>
        </w:rPr>
      </w:r>
    </w:p>
    <w:p>
      <w:pPr>
        <w:pStyle w:val="Normal"/>
        <w:keepNext w:val="true"/>
        <w:keepLines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Технические требования на выполнение работ</w:t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ОКПД 2: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 43.21.10.140 Выполнение работ по созданию комплексной системы безопасности ГАЭС Каскада Кубанских ГЭС</w:t>
      </w:r>
      <w:r>
        <w:rPr>
          <w:sz w:val="24"/>
          <w:szCs w:val="24"/>
        </w:rPr>
        <w:t xml:space="preserve">  для нужд Кубанского филиала АО «Гидроремонт-ВКК».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/>
      </w:r>
      <w:r>
        <w:br w:type="page"/>
      </w:r>
    </w:p>
    <w:p>
      <w:pPr>
        <w:pStyle w:val="Normal"/>
        <w:jc w:val="center"/>
        <w:rPr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>
      <w:pPr>
        <w:pStyle w:val="Normal"/>
        <w:ind w:hanging="0" w:right="-57"/>
        <w:rPr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bookmarkStart w:id="0" w:name="_Toc51339692_Копия_1"/>
      <w:bookmarkStart w:id="1" w:name="_Toc124516412_Копия_1"/>
      <w:r>
        <w:rPr>
          <w:b/>
          <w:sz w:val="24"/>
          <w:szCs w:val="24"/>
        </w:rPr>
        <w:t>Общие сведения …………………………………………………………………………………</w:t>
      </w:r>
      <w:bookmarkEnd w:id="0"/>
      <w:bookmarkEnd w:id="1"/>
      <w:r>
        <w:rPr>
          <w:b/>
          <w:sz w:val="24"/>
          <w:szCs w:val="24"/>
        </w:rPr>
        <w:t>...3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r>
            <w:fldChar w:fldCharType="begin"/>
          </w:r>
          <w:r>
            <w:rPr>
              <w:rStyle w:val="Style15"/>
              <w:sz w:val="24"/>
              <w:szCs w:val="24"/>
            </w:rPr>
            <w:instrText xml:space="preserve"> TOC \o "1-4" \h</w:instrText>
          </w:r>
          <w:r>
            <w:rPr>
              <w:rStyle w:val="Style15"/>
              <w:sz w:val="24"/>
              <w:szCs w:val="24"/>
            </w:rPr>
            <w:fldChar w:fldCharType="separate"/>
          </w:r>
          <w:hyperlink w:anchor="__RefHeading___Toc2067_1456059687">
            <w:r>
              <w:rPr>
                <w:rStyle w:val="Style15"/>
                <w:sz w:val="24"/>
                <w:szCs w:val="24"/>
              </w:rPr>
              <w:t>1.1. Обозначения и сокращения</w:t>
              <w:tab/>
              <w:t>3</w:t>
            </w:r>
          </w:hyperlink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69_1456059687">
            <w:r>
              <w:rPr>
                <w:rStyle w:val="Style15"/>
                <w:sz w:val="24"/>
                <w:szCs w:val="24"/>
              </w:rPr>
              <w:t>1.2. Наименование закупаемой продукции</w:t>
              <w:tab/>
              <w:t>3</w:t>
            </w:r>
          </w:hyperlink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71_1456059687">
            <w:r>
              <w:rPr>
                <w:rStyle w:val="Style15"/>
                <w:sz w:val="24"/>
                <w:szCs w:val="24"/>
              </w:rPr>
              <w:t>1.3. Цель выполнение работ</w:t>
              <w:tab/>
              <w:t>3</w:t>
            </w:r>
          </w:hyperlink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73_1456059687">
            <w:r>
              <w:rPr>
                <w:rStyle w:val="Style15"/>
                <w:sz w:val="24"/>
                <w:szCs w:val="24"/>
              </w:rPr>
              <w:t>1.4. Существующее положение</w:t>
              <w:tab/>
              <w:t>3</w:t>
            </w:r>
          </w:hyperlink>
        </w:p>
        <w:p>
          <w:pPr>
            <w:pStyle w:val="Normal"/>
            <w:tabs>
              <w:tab w:val="clear" w:pos="708"/>
              <w:tab w:val="right" w:pos="9825" w:leader="dot"/>
            </w:tabs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Таблица 1. Перечень объектов заказчика</w:t>
          </w:r>
          <w:r>
            <w:rPr>
              <w:sz w:val="24"/>
              <w:szCs w:val="24"/>
            </w:rPr>
            <w:tab/>
            <w:t>3</w:t>
          </w:r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75_1456059687">
            <w:r>
              <w:rPr>
                <w:rStyle w:val="Style15"/>
                <w:sz w:val="24"/>
                <w:szCs w:val="24"/>
              </w:rPr>
              <w:t>1.5.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        <w:tab/>
              <w:t>3</w:t>
            </w:r>
          </w:hyperlink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77_1456059687">
            <w:r>
              <w:rPr>
                <w:rStyle w:val="Style15"/>
              </w:rPr>
              <w:t>2. Требования к продукции</w:t>
              <w:tab/>
            </w:r>
          </w:hyperlink>
          <w:r>
            <w:rPr/>
            <w:t>4</w:t>
          </w:r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81_1456059687">
            <w:r>
              <w:rPr>
                <w:rStyle w:val="Style15"/>
                <w:sz w:val="24"/>
                <w:szCs w:val="24"/>
              </w:rPr>
              <w:t>2.1. Требования к объемам и срокам выполнения работ</w:t>
              <w:tab/>
            </w:r>
          </w:hyperlink>
          <w:r>
            <w:rPr>
              <w:sz w:val="24"/>
              <w:szCs w:val="24"/>
            </w:rPr>
            <w:t>4</w:t>
          </w:r>
        </w:p>
        <w:p>
          <w:pPr>
            <w:pStyle w:val="TOC3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83_1456059687">
            <w:r>
              <w:rPr>
                <w:rStyle w:val="Style15"/>
                <w:sz w:val="24"/>
                <w:szCs w:val="24"/>
              </w:rPr>
              <w:t>2.1.1. Требования к видам и объемам работ</w:t>
              <w:tab/>
            </w:r>
          </w:hyperlink>
          <w:r>
            <w:rPr>
              <w:sz w:val="24"/>
              <w:szCs w:val="24"/>
            </w:rPr>
            <w:t>4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85_1456059687">
            <w:r>
              <w:rPr>
                <w:rStyle w:val="Style15"/>
              </w:rPr>
              <w:t>Таблица 2. Перечень и объем выполняемых работ</w:t>
              <w:tab/>
            </w:r>
          </w:hyperlink>
          <w:r>
            <w:rPr/>
            <w:t>4</w:t>
          </w:r>
        </w:p>
        <w:p>
          <w:pPr>
            <w:pStyle w:val="TOC3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87_1456059687">
            <w:r>
              <w:rPr>
                <w:rStyle w:val="Style15"/>
                <w:sz w:val="24"/>
                <w:szCs w:val="24"/>
              </w:rPr>
              <w:t>2.1.2. Требования к срокам выполнения работ</w:t>
              <w:tab/>
            </w:r>
          </w:hyperlink>
          <w:r>
            <w:rPr>
              <w:sz w:val="24"/>
              <w:szCs w:val="24"/>
            </w:rPr>
            <w:t>5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89_1456059687">
            <w:r>
              <w:rPr>
                <w:rStyle w:val="Style15"/>
              </w:rPr>
              <w:t>Таблица 3. Требования по срокам выполнения работ</w:t>
              <w:tab/>
            </w:r>
          </w:hyperlink>
          <w:r>
            <w:rPr/>
            <w:t>5</w:t>
          </w:r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91_1456059687">
            <w:r>
              <w:rPr>
                <w:rStyle w:val="Style15"/>
                <w:sz w:val="24"/>
                <w:szCs w:val="24"/>
              </w:rPr>
              <w:t>2.2. Требования к качеству работ</w:t>
              <w:tab/>
            </w:r>
          </w:hyperlink>
          <w:r>
            <w:rPr>
              <w:sz w:val="24"/>
              <w:szCs w:val="24"/>
            </w:rPr>
            <w:t>7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3_1456059687">
            <w:r>
              <w:rPr>
                <w:rStyle w:val="Style15"/>
              </w:rPr>
              <w:t>Таблица 4. Требования к качеству работ</w:t>
              <w:tab/>
            </w:r>
          </w:hyperlink>
          <w:r>
            <w:rPr/>
            <w:t>7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5_1456059687">
            <w:r>
              <w:rPr>
                <w:rStyle w:val="Style15"/>
              </w:rPr>
              <w:t>3. Требования к документации по ценообразованию на этапе закупки</w:t>
              <w:tab/>
              <w:t>1</w:t>
            </w:r>
          </w:hyperlink>
          <w:r>
            <w:rPr/>
            <w:t>4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7_1456059687">
            <w:r>
              <w:rPr>
                <w:rStyle w:val="Style15"/>
              </w:rPr>
              <w:t>4. Требования к документации по ценообразованию на этапе заключения (исполнения) договора</w:t>
              <w:tab/>
              <w:t>1</w:t>
            </w:r>
          </w:hyperlink>
          <w:r>
            <w:rPr/>
            <w:t>4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9_1456059687">
            <w:r>
              <w:rPr>
                <w:rStyle w:val="Style15"/>
              </w:rPr>
              <w:t>5. Приложения</w:t>
              <w:tab/>
              <w:t>1</w:t>
            </w:r>
          </w:hyperlink>
          <w:r>
            <w:rPr/>
            <w:t>4</w:t>
          </w:r>
          <w:r>
            <w:rPr/>
            <w:fldChar w:fldCharType="end"/>
          </w:r>
        </w:p>
      </w:sdtContent>
    </w:sdt>
    <w:p>
      <w:pPr>
        <w:pStyle w:val="BodyText"/>
        <w:jc w:val="center"/>
        <w:rPr>
          <w:b/>
          <w:caps/>
          <w:sz w:val="24"/>
          <w:szCs w:val="24"/>
        </w:rPr>
      </w:pPr>
      <w:r>
        <w:br w:type="page"/>
      </w:r>
      <w:r>
        <w:rPr>
          <w:rFonts w:eastAsia="Calibri"/>
          <w:b/>
          <w:sz w:val="24"/>
          <w:szCs w:val="24"/>
        </w:rPr>
        <w:t>1.</w:t>
      </w:r>
      <w:r>
        <w:rPr>
          <w:rFonts w:eastAsia="Calibri"/>
          <w:b/>
          <w:i/>
          <w:sz w:val="24"/>
          <w:szCs w:val="24"/>
        </w:rPr>
        <w:t xml:space="preserve"> </w:t>
      </w:r>
      <w:bookmarkStart w:id="2" w:name="_Toc51339692"/>
      <w:bookmarkStart w:id="3" w:name="_Toc124516412"/>
      <w:r>
        <w:rPr>
          <w:b/>
          <w:sz w:val="24"/>
          <w:szCs w:val="24"/>
        </w:rPr>
        <w:t>Общие сведения</w:t>
      </w:r>
      <w:bookmarkEnd w:id="2"/>
      <w:bookmarkEnd w:id="3"/>
    </w:p>
    <w:p>
      <w:pPr>
        <w:pStyle w:val="Heading4"/>
        <w:numPr>
          <w:ilvl w:val="1"/>
          <w:numId w:val="3"/>
        </w:numPr>
        <w:ind w:hanging="567" w:left="567"/>
        <w:rPr/>
      </w:pPr>
      <w:bookmarkStart w:id="4" w:name="__RefHeading___Toc2067_1456059687"/>
      <w:bookmarkStart w:id="5" w:name="_Toc124516413"/>
      <w:bookmarkStart w:id="6" w:name="_Toc46743505"/>
      <w:bookmarkEnd w:id="4"/>
      <w:r>
        <w:rPr/>
        <w:t>Обозначения и сокращения</w:t>
      </w:r>
      <w:bookmarkEnd w:id="5"/>
      <w:bookmarkEnd w:id="6"/>
    </w:p>
    <w:p>
      <w:pPr>
        <w:pStyle w:val="Normal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</w:p>
    <w:tbl>
      <w:tblPr>
        <w:tblW w:w="10031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2385"/>
        <w:gridCol w:w="7645"/>
      </w:tblGrid>
      <w:tr>
        <w:trPr>
          <w:cantSplit w:val="true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СТО</w:t>
            </w:r>
          </w:p>
        </w:tc>
        <w:tc>
          <w:tcPr>
            <w:tcW w:w="7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7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ККГЭС</w:t>
            </w:r>
          </w:p>
        </w:tc>
        <w:tc>
          <w:tcPr>
            <w:tcW w:w="7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Филиала ПАО «РусГидро»-«Каскад Кубанских ГЭС»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РЗ</w:t>
            </w:r>
          </w:p>
        </w:tc>
        <w:tc>
          <w:tcPr>
            <w:tcW w:w="7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Рабочее задание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КСБ</w:t>
            </w:r>
          </w:p>
        </w:tc>
        <w:tc>
          <w:tcPr>
            <w:tcW w:w="7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Комплексная система безопасности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ИТСЗ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Инженерно-технические средства физической защиты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оповещения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охранного освещения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охранной сигнализации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СКУД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контроля управления доступом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охранного телевидения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СЭ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электропитания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КПП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Контрольно-пропускной пункт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Подъемные сооружения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Эксплуатирующая организация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«РусГидро»-«Каскад Кубанских ГЭС»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ГТС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Гидротехнические сооружения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ГАЭС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Гидроаккумулирующая электростанция</w:t>
            </w:r>
          </w:p>
        </w:tc>
      </w:tr>
    </w:tbl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ind w:hanging="567" w:left="567"/>
        <w:rPr/>
      </w:pPr>
      <w:bookmarkStart w:id="7" w:name="__RefHeading___Toc2069_1456059687"/>
      <w:bookmarkStart w:id="8" w:name="_Toc124516414"/>
      <w:bookmarkEnd w:id="7"/>
      <w:r>
        <w:rPr/>
        <w:t>Наименование закупаемой продукции</w:t>
      </w:r>
      <w:bookmarkEnd w:id="8"/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/>
      </w:pPr>
      <w:r>
        <w:rPr>
          <w:sz w:val="24"/>
          <w:szCs w:val="24"/>
        </w:rPr>
        <w:t xml:space="preserve">ОКПД 2: 43.21.10.140 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Выполнение работ по созданию комплексной системы безопасности ГАЭС Каскада Кубанских ГЭС</w:t>
      </w:r>
      <w:r>
        <w:rPr>
          <w:sz w:val="24"/>
          <w:szCs w:val="24"/>
        </w:rPr>
        <w:t xml:space="preserve">  для нужд Кубанского филиала АО «Гидроремонт-ВКК».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rPr/>
      </w:pPr>
      <w:bookmarkStart w:id="9" w:name="__RefHeading___Toc2071_1456059687"/>
      <w:bookmarkEnd w:id="9"/>
      <w:r>
        <w:rPr>
          <w:lang w:val="ru-RU"/>
        </w:rPr>
        <w:t>Цель выполнение работ</w:t>
      </w:r>
      <w:r>
        <w:rPr/>
        <w:t xml:space="preserve">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color w:val="000000"/>
        </w:rPr>
      </w:pPr>
      <w:r>
        <w:rPr>
          <w:bCs/>
          <w:color w:val="000000"/>
          <w:sz w:val="24"/>
          <w:szCs w:val="24"/>
        </w:rPr>
        <w:t>Исполнения обязательств по договору подряда № 20-ККГЭС-СМР-2022 от 30.06.2022 г. «Актуализация рабочей документации, выполнение работ по созданию комплексной системы безопасности на ГАЭС Каскада Кубанских ГЭС, в том числе поставка Оборудования», заключенного между АО «Гидроремонт-ВКК» и АО «УК ГидроОГК».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color w:val="000000"/>
        </w:rPr>
      </w:pPr>
      <w:r>
        <w:rPr>
          <w:color w:val="000000"/>
        </w:rPr>
      </w:r>
    </w:p>
    <w:p>
      <w:pPr>
        <w:pStyle w:val="Heading4"/>
        <w:numPr>
          <w:ilvl w:val="1"/>
          <w:numId w:val="3"/>
        </w:numPr>
        <w:rPr/>
      </w:pPr>
      <w:bookmarkStart w:id="10" w:name="__RefHeading___Toc2073_1456059687"/>
      <w:bookmarkEnd w:id="10"/>
      <w:r>
        <w:rPr/>
        <w:t>Существу</w:t>
      </w:r>
      <w:r>
        <w:rPr>
          <w:lang w:val="ru-RU"/>
        </w:rPr>
        <w:t>ющее положение</w:t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before="0" w:after="0"/>
        <w:contextualSpacing/>
        <w:rPr/>
      </w:pPr>
      <w:r>
        <w:rPr>
          <w:bCs/>
          <w:color w:val="000000"/>
          <w:sz w:val="24"/>
          <w:szCs w:val="24"/>
          <w:lang w:eastAsia="x-none"/>
        </w:rPr>
        <w:t>«Строительная площадка» или «Стройплощадка» – предоставляется Субподрядчику по акту для выполнения работ.</w:t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before="0" w:after="0"/>
        <w:contextualSpacing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Таблица 1. Перечень объектов Заказчика</w:t>
      </w:r>
    </w:p>
    <w:tbl>
      <w:tblPr>
        <w:tblW w:w="1033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675"/>
        <w:gridCol w:w="2827"/>
        <w:gridCol w:w="2560"/>
        <w:gridCol w:w="2717"/>
        <w:gridCol w:w="1559"/>
      </w:tblGrid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 объекта (место производства работ)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ГАЭС Каскада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Кубанских ГЭС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Федерация, Карачаево-Черкесская Республика, Прикубанский район, село Водораздельное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ГАЭС Каскада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Кубанских ГЭС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color w:val="C9211E"/>
                <w:sz w:val="20"/>
                <w:szCs w:val="20"/>
              </w:rPr>
            </w:pPr>
            <w:r>
              <w:rPr>
                <w:i/>
                <w:iCs/>
                <w:color w:val="C9211E"/>
                <w:sz w:val="20"/>
                <w:szCs w:val="20"/>
              </w:rPr>
            </w:r>
          </w:p>
        </w:tc>
      </w:tr>
    </w:tbl>
    <w:p>
      <w:pPr>
        <w:pStyle w:val="Heading4"/>
        <w:tabs>
          <w:tab w:val="clear" w:pos="0"/>
          <w:tab w:val="left" w:pos="735" w:leader="none"/>
          <w:tab w:val="left" w:pos="960" w:leader="none"/>
        </w:tabs>
        <w:ind w:hanging="0" w:left="567"/>
        <w:rPr>
          <w:i/>
          <w:i/>
          <w:iCs/>
        </w:rPr>
      </w:pPr>
      <w:r>
        <w:rPr>
          <w:i/>
          <w:iCs/>
        </w:rPr>
      </w:r>
    </w:p>
    <w:p>
      <w:pPr>
        <w:pStyle w:val="Heading4"/>
        <w:numPr>
          <w:ilvl w:val="1"/>
          <w:numId w:val="3"/>
        </w:numPr>
        <w:tabs>
          <w:tab w:val="clear" w:pos="960"/>
          <w:tab w:val="left" w:pos="0" w:leader="none"/>
          <w:tab w:val="left" w:pos="450" w:leader="none"/>
          <w:tab w:val="left" w:pos="735" w:leader="none"/>
          <w:tab w:val="left" w:pos="930" w:leader="none"/>
        </w:tabs>
        <w:ind w:hanging="0" w:left="0"/>
        <w:rPr/>
      </w:pPr>
      <w:bookmarkStart w:id="11" w:name="__RefHeading___Toc2075_1456059687_Копия_"/>
      <w:bookmarkStart w:id="12" w:name="_Hlk49857604_Копия_1"/>
      <w:bookmarkStart w:id="13" w:name="_Toc46743509_Копия_1"/>
      <w:bookmarkEnd w:id="11"/>
      <w:r>
        <w:rPr/>
        <w:t xml:space="preserve">Информация в отношении исполнения договора, </w:t>
      </w:r>
      <w:bookmarkStart w:id="14" w:name="_Hlk46492347_Копия_1"/>
      <w:r>
        <w:rPr/>
        <w:t xml:space="preserve">которая должна быть учтена при подготовке заявки </w:t>
      </w:r>
      <w:bookmarkEnd w:id="14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Генеральным подрядчиком</w:t>
      </w:r>
      <w:r>
        <w:rPr/>
        <w:t xml:space="preserve"> на</w:t>
      </w:r>
      <w:r>
        <w:rPr>
          <w:lang w:val="ru-RU"/>
        </w:rPr>
        <w:t xml:space="preserve"> </w:t>
      </w:r>
      <w:r>
        <w:rPr/>
        <w:t>этапе исполнения договора)</w:t>
      </w:r>
      <w:bookmarkEnd w:id="12"/>
      <w:bookmarkEnd w:id="13"/>
    </w:p>
    <w:p>
      <w:pPr>
        <w:pStyle w:val="Normal"/>
        <w:jc w:val="both"/>
        <w:rPr/>
      </w:pPr>
      <w:r>
        <w:rPr>
          <w:sz w:val="24"/>
          <w:szCs w:val="24"/>
          <w:lang w:eastAsia="x-none"/>
        </w:rPr>
        <w:t>-1.5.1. Предоставление грузоподъемных механизмов.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1.5.2. Предоставление ресурсов: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Электроэнергия.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Вода.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Сжатый воздух.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Обеспечение санитарно-гигиенических и бытовых условий.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Содержание пожарной и сторожевой охраны.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Благоустройство и содержание строительных площадок.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1.5.3. Представление помещений: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Помещения / площадки для размещения персонала подрядчика.</w:t>
      </w:r>
    </w:p>
    <w:p>
      <w:pPr>
        <w:pStyle w:val="Normal"/>
        <w:jc w:val="both"/>
        <w:rPr/>
      </w:pPr>
      <w:r>
        <w:rPr>
          <w:sz w:val="24"/>
          <w:szCs w:val="24"/>
          <w:lang w:eastAsia="x-none"/>
        </w:rPr>
        <w:t xml:space="preserve">- Складские помещения и/или </w:t>
      </w:r>
      <w:r>
        <w:rPr>
          <w:bCs/>
          <w:sz w:val="24"/>
          <w:szCs w:val="24"/>
          <w:lang w:eastAsia="x-none"/>
        </w:rPr>
        <w:t xml:space="preserve">площадки для погрузки/разгрузки складирования/хранения </w:t>
      </w:r>
      <w:r>
        <w:rPr>
          <w:bCs/>
          <w:sz w:val="24"/>
          <w:szCs w:val="24"/>
          <w:shd w:fill="auto" w:val="clear"/>
          <w:lang w:eastAsia="x-none"/>
        </w:rPr>
        <w:t>материально-технических ресурсов, оборудования Подрядчика, а также давальческого Оборудования Генерального подрядчика.</w:t>
      </w:r>
    </w:p>
    <w:p>
      <w:pPr>
        <w:pStyle w:val="Heading4"/>
        <w:tabs>
          <w:tab w:val="clear" w:pos="0"/>
          <w:tab w:val="left" w:pos="735" w:leader="none"/>
          <w:tab w:val="left" w:pos="960" w:leader="none"/>
        </w:tabs>
        <w:ind w:hanging="0" w:left="567"/>
        <w:rPr>
          <w:highlight w:val="none"/>
          <w:shd w:fill="auto" w:val="clear"/>
        </w:rPr>
      </w:pPr>
      <w:bookmarkStart w:id="15" w:name="_Toc46743507"/>
      <w:bookmarkStart w:id="16" w:name="_Toc54646398"/>
      <w:r>
        <w:rPr>
          <w:shd w:fill="auto" w:val="clear"/>
        </w:rPr>
        <w:t xml:space="preserve"> </w:t>
      </w:r>
      <w:bookmarkEnd w:id="15"/>
      <w:bookmarkEnd w:id="16"/>
    </w:p>
    <w:p>
      <w:pPr>
        <w:pStyle w:val="Heading1"/>
        <w:numPr>
          <w:ilvl w:val="0"/>
          <w:numId w:val="3"/>
        </w:numPr>
        <w:ind w:hanging="0" w:left="3175"/>
        <w:rPr>
          <w:caps/>
          <w:sz w:val="24"/>
          <w:szCs w:val="24"/>
          <w:lang w:val="ru-RU"/>
        </w:rPr>
      </w:pPr>
      <w:bookmarkStart w:id="17" w:name="__RefHeading___Toc2079_1456059687"/>
      <w:bookmarkStart w:id="18" w:name="_Toc124516416"/>
      <w:bookmarkStart w:id="19" w:name="_Toc51339693"/>
      <w:bookmarkStart w:id="20" w:name="_Toc50125126"/>
      <w:bookmarkEnd w:id="17"/>
      <w:bookmarkEnd w:id="20"/>
      <w:r>
        <w:rPr>
          <w:sz w:val="24"/>
          <w:szCs w:val="24"/>
        </w:rPr>
        <w:t>Требования к продукции</w:t>
      </w:r>
      <w:bookmarkEnd w:id="18"/>
      <w:bookmarkEnd w:id="19"/>
    </w:p>
    <w:p>
      <w:pPr>
        <w:pStyle w:val="Normal"/>
        <w:numPr>
          <w:ilvl w:val="0"/>
          <w:numId w:val="0"/>
        </w:numPr>
        <w:ind w:hanging="0" w:left="3175"/>
        <w:outlineLvl w:val="0"/>
        <w:rPr>
          <w:caps/>
          <w:sz w:val="24"/>
          <w:szCs w:val="24"/>
        </w:rPr>
      </w:pPr>
      <w:r>
        <w:rPr>
          <w:caps/>
          <w:sz w:val="24"/>
          <w:szCs w:val="24"/>
        </w:rPr>
      </w:r>
    </w:p>
    <w:p>
      <w:pPr>
        <w:pStyle w:val="Heading4"/>
        <w:numPr>
          <w:ilvl w:val="1"/>
          <w:numId w:val="3"/>
        </w:numPr>
        <w:rPr/>
      </w:pPr>
      <w:bookmarkStart w:id="21" w:name="__RefHeading___Toc2081_1456059687"/>
      <w:bookmarkStart w:id="22" w:name="_Toc124516417"/>
      <w:bookmarkEnd w:id="21"/>
      <w:r>
        <w:rPr/>
        <w:t xml:space="preserve">Требования к объемам и срокам </w:t>
      </w:r>
      <w:r>
        <w:rPr>
          <w:lang w:val="ru-RU"/>
        </w:rPr>
        <w:t>выполнения рабо</w:t>
      </w:r>
      <w:bookmarkEnd w:id="22"/>
      <w:r>
        <w:rPr>
          <w:lang w:val="ru-RU"/>
        </w:rPr>
        <w:t>т</w:t>
      </w:r>
    </w:p>
    <w:p>
      <w:pPr>
        <w:pStyle w:val="Normal"/>
        <w:ind w:hanging="432" w:left="432"/>
        <w:rPr/>
      </w:pPr>
      <w:r>
        <w:rPr/>
      </w:r>
    </w:p>
    <w:p>
      <w:pPr>
        <w:pStyle w:val="Heading3"/>
        <w:numPr>
          <w:ilvl w:val="2"/>
          <w:numId w:val="3"/>
        </w:numPr>
        <w:rPr/>
      </w:pPr>
      <w:bookmarkStart w:id="23" w:name="__RefHeading___Toc2083_1456059687"/>
      <w:bookmarkStart w:id="24" w:name="_Toc124516418"/>
      <w:bookmarkEnd w:id="23"/>
      <w:r>
        <w:rPr/>
        <w:t>Требования к видам и объемам работ</w:t>
      </w:r>
      <w:bookmarkEnd w:id="24"/>
    </w:p>
    <w:p>
      <w:pPr>
        <w:pStyle w:val="Normal"/>
        <w:ind w:hanging="504" w:left="1072"/>
        <w:rPr>
          <w:rFonts w:eastAsia="Calibri"/>
          <w:b/>
          <w:sz w:val="24"/>
          <w:szCs w:val="24"/>
          <w:lang w:val="x-none" w:eastAsia="x-none"/>
        </w:rPr>
      </w:pPr>
      <w:r>
        <w:rPr>
          <w:rFonts w:eastAsia="Calibri"/>
          <w:b/>
          <w:sz w:val="24"/>
          <w:szCs w:val="24"/>
          <w:lang w:val="x-none" w:eastAsia="x-none"/>
        </w:rPr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/>
      </w:pPr>
      <w:bookmarkStart w:id="25" w:name="__RefHeading___Toc2085_1456059687"/>
      <w:bookmarkStart w:id="26" w:name="_Toc124516419"/>
      <w:bookmarkStart w:id="27" w:name="_Toc51339695"/>
      <w:bookmarkEnd w:id="25"/>
      <w:r>
        <w:rPr>
          <w:sz w:val="24"/>
          <w:szCs w:val="24"/>
        </w:rPr>
        <w:t xml:space="preserve">Таблица 2. Перечень </w:t>
      </w:r>
      <w:bookmarkEnd w:id="27"/>
      <w:r>
        <w:rPr>
          <w:sz w:val="24"/>
          <w:szCs w:val="24"/>
        </w:rPr>
        <w:t>и объем выполняемых работ</w:t>
      </w:r>
      <w:bookmarkEnd w:id="26"/>
    </w:p>
    <w:tbl>
      <w:tblPr>
        <w:tblW w:w="9952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998"/>
        <w:gridCol w:w="4841"/>
        <w:gridCol w:w="2039"/>
        <w:gridCol w:w="2073"/>
      </w:tblGrid>
      <w:tr>
        <w:trPr/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>
          <w:trHeight w:val="246" w:hRule="atLeast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1100" w:hRule="atLeast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монтажу кабеленесущих конструкций и кабельной канализации Плотина ГАЭС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РД 20-КК/0622.КК-1.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монтажу кабеленесущих конструкций и кабельной канализации Водоприемник ГАЭС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РД 20-КК/0622.КК-2.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монтажу кабеленесущих конструкций и кабельной канализации Станционный узел ГАЭС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РД 20-КК/0622.КК-3.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монтажу кабеленесущих конструкций и кабельной канализации Шлюз регулятор ГАЭС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РД 20-КК/0622.КК-4.(Приложение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монтажу системы контроля и управления доступом ГАЭС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РД 20-КК/0622. СКУД.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монтажу системы охранной сигнализации ГАЭС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РД 20-КК/0622. СОС.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монтажу системы охранной телевизионной ГАЭС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РД РД 20-КК/0622. СОТ.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монтажу системы сбора и обработки информации ГАЭС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РД 20-КК/0622. ССОИ.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работ по монтажу системы электропитания ГАЭС 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РД 20-КК/0622. СЭ.(Приложение № 3 к настоящим Техническим требованиям)</w:t>
            </w:r>
          </w:p>
        </w:tc>
      </w:tr>
    </w:tbl>
    <w:p>
      <w:pPr>
        <w:pStyle w:val="Heading3"/>
        <w:tabs>
          <w:tab w:val="clear" w:pos="0"/>
          <w:tab w:val="left" w:pos="735" w:leader="none"/>
          <w:tab w:val="left" w:pos="960" w:leader="none"/>
        </w:tabs>
        <w:ind w:hanging="0" w:left="1072"/>
        <w:rPr/>
      </w:pPr>
      <w:r>
        <w:rPr/>
      </w:r>
    </w:p>
    <w:p>
      <w:pPr>
        <w:pStyle w:val="Heading3"/>
        <w:numPr>
          <w:ilvl w:val="2"/>
          <w:numId w:val="3"/>
        </w:numPr>
        <w:rPr/>
      </w:pPr>
      <w:bookmarkStart w:id="28" w:name="__RefHeading___Toc2087_1456059687"/>
      <w:bookmarkStart w:id="29" w:name="_Toc124516420"/>
      <w:bookmarkStart w:id="30" w:name="_Toc51339696"/>
      <w:bookmarkEnd w:id="28"/>
      <w:r>
        <w:rPr/>
        <w:t xml:space="preserve">Требования </w:t>
      </w:r>
      <w:bookmarkEnd w:id="30"/>
      <w:r>
        <w:rPr/>
        <w:t>к срокам выполнения работ</w:t>
      </w:r>
      <w:bookmarkEnd w:id="29"/>
    </w:p>
    <w:p>
      <w:pPr>
        <w:pStyle w:val="Normal"/>
        <w:ind w:hanging="504" w:left="1072"/>
        <w:rPr/>
      </w:pPr>
      <w:r>
        <w:rPr/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>
          <w:sz w:val="24"/>
          <w:szCs w:val="24"/>
          <w:lang w:val="ru-RU"/>
        </w:rPr>
      </w:pPr>
      <w:bookmarkStart w:id="31" w:name="__RefHeading___Toc2089_1456059687"/>
      <w:bookmarkStart w:id="32" w:name="_Toc124516421"/>
      <w:bookmarkStart w:id="33" w:name="_Toc51339697"/>
      <w:bookmarkStart w:id="34" w:name="_Toc50125127"/>
      <w:bookmarkStart w:id="35" w:name="_Toc50125126_Копия_1"/>
      <w:bookmarkEnd w:id="31"/>
      <w:bookmarkEnd w:id="3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36" w:name="_Hlk50465284"/>
      <w:r>
        <w:rPr>
          <w:sz w:val="24"/>
          <w:szCs w:val="24"/>
        </w:rPr>
        <w:t xml:space="preserve">Требования по срокам </w:t>
      </w:r>
      <w:bookmarkEnd w:id="33"/>
      <w:bookmarkEnd w:id="34"/>
      <w:bookmarkEnd w:id="36"/>
      <w:r>
        <w:rPr>
          <w:sz w:val="24"/>
          <w:szCs w:val="24"/>
          <w:lang w:val="ru-RU"/>
        </w:rPr>
        <w:t>выполнения работ</w:t>
      </w:r>
      <w:bookmarkEnd w:id="32"/>
    </w:p>
    <w:tbl>
      <w:tblPr>
        <w:tblW w:w="997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0"/>
        <w:gridCol w:w="4474"/>
        <w:gridCol w:w="1920"/>
        <w:gridCol w:w="2730"/>
      </w:tblGrid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работ*</w:t>
            </w:r>
          </w:p>
        </w:tc>
      </w:tr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hanging="0" w:left="0" w:right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hanging="0" w:left="0" w:right="0"/>
              <w:jc w:val="center"/>
              <w:rPr>
                <w:sz w:val="24"/>
                <w:szCs w:val="24"/>
              </w:rPr>
            </w:pPr>
            <w:bookmarkStart w:id="37" w:name="_Toc46743510"/>
            <w:r>
              <w:rPr>
                <w:b/>
                <w:sz w:val="24"/>
                <w:szCs w:val="24"/>
              </w:rPr>
              <w:t>4</w:t>
            </w:r>
            <w:bookmarkEnd w:id="37"/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ind w:hanging="454" w:left="737" w:right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монтажу кабеленесущих конструкций и кабельной канализации Плотина ГАЭС</w:t>
            </w:r>
          </w:p>
        </w:tc>
        <w:tc>
          <w:tcPr>
            <w:tcW w:w="192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  <w:p>
            <w:pPr>
              <w:pStyle w:val="Style37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  <w:p>
            <w:pPr>
              <w:pStyle w:val="Style37"/>
              <w:widowControl w:val="false"/>
              <w:jc w:val="center"/>
              <w:rPr>
                <w:color w:val="C9211E"/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</w:rPr>
            </w:r>
          </w:p>
          <w:p>
            <w:pPr>
              <w:pStyle w:val="Style3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hanging="0"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18.12.2026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ind w:hanging="454" w:left="737" w:right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монтажу кабеленесущих конструкций и кабельной канализации Водоприемник ГАЭС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hanging="0" w:left="0" w:righ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позднее 18.12.2026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ind w:hanging="454" w:left="737" w:right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монтажу кабеленесущих конструкций и кабельной канализации Станционный узел ГАЭС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hanging="0" w:left="0" w:righ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позднее 18.12.2026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ind w:hanging="454" w:left="737" w:right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монтажу кабеленесущих конструкций и кабельной канализации Шлюз регулятор ГАЭС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hanging="0" w:left="0" w:righ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позднее 18.12.2026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ind w:hanging="454" w:left="737" w:right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монтажу системы контроля и управления доступом ГАЭС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hanging="0"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18.12.2026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ind w:hanging="454" w:left="737" w:right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монтажу системы охранной сигнализации ГАЭС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hanging="0"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18.12.2026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ind w:hanging="454" w:left="737" w:right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монтажу системы охранной телевизионной ГАЭС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hanging="0" w:left="0" w:right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позднее 18.12.2026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ind w:hanging="454" w:left="737" w:right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монтажу системы сбора и обработки информации ГАЭС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hanging="0"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18.12.2026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ind w:hanging="454" w:left="737" w:right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работ по монтажу системы электропитания ГАЭС 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hanging="0"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18.12.2026</w:t>
            </w:r>
          </w:p>
        </w:tc>
      </w:tr>
      <w:tr>
        <w:trPr/>
        <w:tc>
          <w:tcPr>
            <w:tcW w:w="9974" w:type="dxa"/>
            <w:gridSpan w:val="4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* согласно </w:t>
            </w:r>
            <w:r>
              <w:rPr>
                <w:color w:val="000000"/>
                <w:sz w:val="24"/>
                <w:szCs w:val="24"/>
              </w:rPr>
              <w:t xml:space="preserve">календарного графика к </w:t>
            </w:r>
            <w:r>
              <w:rPr>
                <w:bCs/>
                <w:color w:val="000000"/>
                <w:sz w:val="24"/>
                <w:szCs w:val="24"/>
              </w:rPr>
              <w:t>договору подряда № 20-ККГЭС-СМР-2022 от 30.06.2022 г.</w:t>
            </w:r>
          </w:p>
        </w:tc>
      </w:tr>
    </w:tbl>
    <w:p>
      <w:pPr>
        <w:sectPr>
          <w:headerReference w:type="default" r:id="rId2"/>
          <w:footerReference w:type="default" r:id="rId3"/>
          <w:type w:val="nextPage"/>
          <w:pgSz w:w="11906" w:h="16838"/>
          <w:pgMar w:left="1230" w:right="851" w:gutter="0" w:header="0" w:top="567" w:footer="0" w:bottom="567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Heading4"/>
        <w:numPr>
          <w:ilvl w:val="1"/>
          <w:numId w:val="3"/>
        </w:numPr>
        <w:rPr/>
      </w:pPr>
      <w:bookmarkStart w:id="38" w:name="__RefHeading___Toc2091_1456059687"/>
      <w:bookmarkStart w:id="39" w:name="_Toc51339698"/>
      <w:bookmarkStart w:id="40" w:name="_Toc124516422"/>
      <w:bookmarkEnd w:id="38"/>
      <w:r>
        <w:rPr/>
        <w:t xml:space="preserve">Требования к </w:t>
      </w:r>
      <w:r>
        <w:rPr>
          <w:lang w:val="ru-RU"/>
        </w:rPr>
        <w:t>качеству работ</w:t>
      </w:r>
      <w:bookmarkEnd w:id="40"/>
    </w:p>
    <w:p>
      <w:pPr>
        <w:pStyle w:val="Normal"/>
        <w:ind w:hanging="432" w:left="432"/>
        <w:rPr/>
      </w:pPr>
      <w:r>
        <w:rPr/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>
          <w:sz w:val="24"/>
          <w:szCs w:val="24"/>
        </w:rPr>
      </w:pPr>
      <w:bookmarkStart w:id="41" w:name="__RefHeading___Toc2093_1456059687"/>
      <w:bookmarkStart w:id="42" w:name="_Toc124516423"/>
      <w:bookmarkEnd w:id="41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39"/>
      <w:r>
        <w:rPr>
          <w:sz w:val="24"/>
          <w:szCs w:val="24"/>
          <w:lang w:val="ru-RU"/>
        </w:rPr>
        <w:t>качеству работ</w:t>
      </w:r>
      <w:bookmarkEnd w:id="42"/>
      <w:r>
        <w:rPr>
          <w:sz w:val="24"/>
          <w:szCs w:val="24"/>
        </w:rPr>
        <w:t xml:space="preserve"> </w:t>
      </w:r>
    </w:p>
    <w:p>
      <w:pPr>
        <w:pStyle w:val="Normal"/>
        <w:rPr/>
      </w:pPr>
      <w:r>
        <w:rPr>
          <w:bCs/>
          <w:sz w:val="24"/>
          <w:szCs w:val="24"/>
        </w:rPr>
        <w:t>Наименование работ/этапа работ: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  <w:lang w:eastAsia="x-none"/>
        </w:rPr>
        <w:t>Позиция № 1-9 Таблицы 2. Перечень и объем выполняемых работ</w:t>
      </w:r>
    </w:p>
    <w:p>
      <w:pPr>
        <w:pStyle w:val="Normal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tbl>
      <w:tblPr>
        <w:tblW w:w="15422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20"/>
        <w:gridCol w:w="1954"/>
        <w:gridCol w:w="7970"/>
        <w:gridCol w:w="2409"/>
        <w:gridCol w:w="2269"/>
      </w:tblGrid>
      <w:tr>
        <w:trPr>
          <w:trHeight w:val="276" w:hRule="atLeast"/>
        </w:trPr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7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Генерального подрядчика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276" w:hRule="atLeast"/>
        </w:trPr>
        <w:tc>
          <w:tcPr>
            <w:tcW w:w="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9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79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указание характеристик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-120" w:leader="none"/>
                <w:tab w:val="left" w:pos="165" w:leader="none"/>
              </w:tabs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bCs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-//-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5"/>
              </w:numPr>
              <w:ind w:hanging="340" w:left="34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Соблюдение норм и правил нормативно-технических документов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020" w:leader="none"/>
              </w:tabs>
              <w:ind w:hanging="0" w:left="0"/>
              <w:jc w:val="both"/>
              <w:rPr>
                <w:u w:val="single"/>
              </w:rPr>
            </w:pPr>
            <w:r>
              <w:rPr>
                <w:u w:val="single"/>
              </w:rPr>
              <w:t>При выполнении работ Субподрядчик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hanging="0" w:left="170"/>
              <w:jc w:val="both"/>
              <w:rPr/>
            </w:pPr>
            <w:r>
              <w:rPr/>
              <w:t>Работы должны проводиться в строгом соответствии с Таблицей 3.     «Требования по срокам выполнения работ» настоящих ТТ;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hanging="0" w:left="170"/>
              <w:jc w:val="both"/>
              <w:rPr/>
            </w:pPr>
            <w:r>
              <w:rPr/>
              <w:t>Приказ ПАО «РусГидро» от 28.04.2023 №300 «Об утверждении Регламента процесса “Допуск персонала подрядных организаций на объекты ПАО “РусГидро”» (Приложение № 2 к настоящим ТТ);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hanging="0" w:left="170"/>
              <w:jc w:val="both"/>
              <w:rPr/>
            </w:pPr>
            <w:r>
              <w:rPr/>
              <w:t>СТО РусГидро 02.01.62 – 2021 «Электрические станции и сети. Ремонт и техническое обслуживание оборудования, зданий и сооружений» (раздел 5, Приложение № 7 к настоящим ТТ);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hanging="0" w:left="170"/>
              <w:jc w:val="both"/>
              <w:rPr/>
            </w:pPr>
            <w:r>
              <w:rPr/>
              <w:t>ГОСТ 10180-2012</w:t>
            </w:r>
            <w:r>
              <w:rPr>
                <w:color w:val="2A6099"/>
              </w:rPr>
              <w:t xml:space="preserve"> </w:t>
            </w:r>
            <w:r>
              <w:rPr>
                <w:color w:val="000000"/>
              </w:rPr>
              <w:t>«Бетоны. Методы определения прочности по контрольным образцам»</w:t>
            </w:r>
            <w:r>
              <w:rPr/>
              <w:t>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hanging="0" w:left="170"/>
              <w:jc w:val="both"/>
              <w:rPr/>
            </w:pPr>
            <w:r>
              <w:rPr/>
              <w:t>Правила по охране труда при погрузочно-разгрузочных работах и размещении грузов», утверждённых приказом Минтруда России от 28.10.2020 г. № 753н, зарегистрированных в Минюсте России 15.12.2020 N 61471;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hanging="0" w:left="170"/>
              <w:jc w:val="both"/>
              <w:rPr/>
            </w:pPr>
            <w:r>
              <w:rPr/>
              <w:t>Соблюдать режим использования водоохранных зон, в соответствии с Водным кодексом РФ от 03.06.2006 г. № 74-ФЗ.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hanging="0" w:left="170"/>
              <w:jc w:val="both"/>
              <w:rPr/>
            </w:pPr>
            <w:r>
              <w:rPr/>
              <w:t>Иметь квалификацию и опыт, соответствующие выполняемым работам. Инструктаж, обучение и проверка знаний по охране труда рабочих и инженерно-технических работников должны быть</w:t>
            </w:r>
            <w:r>
              <w:rPr>
                <w:i/>
                <w:iCs/>
              </w:rPr>
              <w:t xml:space="preserve"> </w:t>
            </w:r>
            <w:r>
              <w:rPr/>
              <w:t>организованы в соответствии - Постановлением Правительства РФ от 24.12.2021 N 2464 "О порядке обучения по охране труда и проверки знания требований охраны труда" (вместе с "Правилами обучения по охране труда и проверки знания требований охраны труда")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  <w:t>При работе на ГТС должен руководствоваться - СТО РусГидро 05.02.126-2020 Правила организации безопасного обслуживания, гидротехнических сооружений, гидросилового и гидромеханического оборудования гидроэлектростанций (раздел 5, Приложение №  6 к настоящим ТТ)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  <w:t>СП 48.13330.2019. Свод правил. Организация строительства. СНиП 12-01-2004" (утв. и введён в действие Приказом Минстроя России от 24.12.2019 N 861/пр);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  <w:t>Проводимые работы по подъему и транспортировке людей с применением ПС должны в полной мере соответствовать требованиям пунктов 115, 137, 235-247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 (утверждены приказом Ростехнадзора №461 от 26.11.2020 г.).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  <w:t>Субподрядчик обязан осуществлять мероприятия строительного контроля, возложенные на Субподрядчика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  <w:t>Субподрядчик обязан обеспечивать в месте производства Работ порядок и чистоту, накапливать строительный и бытовой мусор в предназначенных для этого и указанных Генеральным подрядчиком местах, не допуская переполнения мест накопления, самостоятельно определить места складирования и вывоза грунта, мусора, а также строительных отходов, материалов от разборки зданий и сооружений, вырубленных насаждений, непригодных для вторичного использования.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  <w:t>Субподрядчик обязан обеспечить наличие всех измерительных приборов (Нивелир, Мультиметр), необходимых для определения гарантированных показателей во время гарантийных испытаний.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  <w:t>В случае если какой-либо из указанных в настоящей Ведомости ГОСТов или нормативных документов были отменены в связи с выпуском новой редакции стандарта, то необходимо применять ГОСТ или нормативный документ, принятый в его развитие.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>
                <w:rFonts w:ascii="Times New Roman;Ti;serif" w:hAnsi="Times New Roman;Ti;serif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highlight w:val="none"/>
                <w:shd w:fill="auto" w:val="clear"/>
              </w:rPr>
            </w:pPr>
            <w:r>
              <w:rPr>
                <w:rFonts w:ascii="Times              New Roman;Ti;serif" w:hAnsi="Times              New Roman;Ti;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hd w:fill="auto" w:val="clear"/>
                <w:lang w:val="ru-RU"/>
              </w:rPr>
              <w:t>Субподрядчик обязан выполнить работы по устройству и ликвидации временных зданий и сооружений в соответствии с ПОС. Затраты на временные здания и сооружения, компенсируются за фактически выполненные работы.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740" w:leader="none"/>
              </w:tabs>
              <w:ind w:hanging="360" w:left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Организационно-технические мероприятия по допуску персонала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hanging="0" w:left="0"/>
              <w:jc w:val="both"/>
              <w:rPr/>
            </w:pPr>
            <w:r>
              <w:rPr>
                <w:u w:val="single"/>
              </w:rPr>
              <w:t>Допуск персонала Субподрядчика для выполнения работ должен осуществляться в соответствии с</w:t>
            </w:r>
          </w:p>
          <w:p>
            <w:pPr>
              <w:pStyle w:val="ListParagraph"/>
              <w:widowControl w:val="false"/>
              <w:numPr>
                <w:ilvl w:val="0"/>
                <w:numId w:val="27"/>
              </w:numPr>
              <w:tabs>
                <w:tab w:val="clear" w:pos="708"/>
                <w:tab w:val="left" w:pos="426" w:leader="none"/>
              </w:tabs>
              <w:ind w:hanging="0" w:left="113"/>
              <w:jc w:val="both"/>
              <w:rPr/>
            </w:pPr>
            <w:r>
              <w:rPr/>
              <w:t>Регламентом процесса Допуска персонала подрядных организаций на объекты ПАО “РусГидро” Приказ ПАО «РусГидро» от 28.04.2023 №300 (Приложение № 2 к настоящим ТТ), с обязательным оформлением необходимых нарядов-допусков.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570" w:leader="none"/>
              </w:tabs>
              <w:ind w:hanging="0" w:left="170"/>
              <w:jc w:val="both"/>
              <w:rPr/>
            </w:pPr>
            <w:r>
              <w:rPr/>
              <w:t>При проведении работ субподрядчик работ должен иметь право работы по нарядам-допускам и быть ответственным за организацию безопасного проведения работ (выдающий наряд, руководитель работ, производитель работ, член бригады).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7"/>
              </w:numPr>
              <w:ind w:hanging="360" w:left="360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Требования к используемым материалам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b/>
                <w:sz w:val="24"/>
                <w:szCs w:val="24"/>
                <w:shd w:fill="FFFF00" w:val="clear"/>
              </w:rPr>
            </w:pPr>
            <w:r>
              <w:rPr>
                <w:b/>
                <w:sz w:val="24"/>
                <w:szCs w:val="24"/>
                <w:shd w:fill="FFFF00" w:val="clear"/>
              </w:rPr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  <w:tab w:val="left" w:pos="795" w:leader="none"/>
              </w:tabs>
              <w:suppressAutoHyphens w:val="true"/>
              <w:bidi w:val="0"/>
              <w:spacing w:before="0" w:after="0"/>
              <w:ind w:hanging="0" w:left="227" w:right="0"/>
              <w:contextualSpacing/>
              <w:jc w:val="both"/>
              <w:rPr/>
            </w:pPr>
            <w:r>
              <w:rPr/>
              <w:t xml:space="preserve">Оборудование Генерального </w:t>
            </w:r>
            <w:r>
              <w:rPr>
                <w:shd w:fill="auto" w:val="clear"/>
              </w:rPr>
              <w:t xml:space="preserve">подрядчика, передаваемое  Субподрядчику для выполнения работ, указано в перечне давальческого Оборудования  Приложение № 8 к настоящим ТТ и передается </w:t>
            </w:r>
            <w:r>
              <w:rPr>
                <w:color w:val="000000"/>
                <w:shd w:fill="auto" w:val="clear"/>
              </w:rPr>
              <w:t>по накладной на отпуск материалов на сторону по форме М-</w:t>
            </w:r>
            <w:r>
              <w:rPr>
                <w:color w:val="000000"/>
              </w:rPr>
              <w:t>15, утвержденной Постановлением Госкомстата России от 30.10.1997 №71А.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hanging="0" w:left="113"/>
              <w:jc w:val="both"/>
              <w:rPr/>
            </w:pPr>
            <w:r>
              <w:rPr/>
              <w:t xml:space="preserve">Материалы, необходимые для выполнения работ, приобретаются Субподрядчиком самостоятельно согласно </w:t>
            </w:r>
            <w:r>
              <w:rPr>
                <w:color w:val="auto"/>
              </w:rPr>
              <w:t xml:space="preserve">Рабочей документацией      </w:t>
            </w:r>
            <w:r>
              <w:rPr>
                <w:color w:val="auto"/>
                <w:sz w:val="24"/>
                <w:szCs w:val="24"/>
              </w:rPr>
              <w:t xml:space="preserve"> 20-КК/0622</w:t>
            </w:r>
            <w:r>
              <w:rPr>
                <w:color w:val="auto"/>
              </w:rPr>
              <w:t xml:space="preserve"> (Приложения № 3 к настоящим ТТ).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hanging="0" w:left="113"/>
              <w:jc w:val="both"/>
              <w:rPr/>
            </w:pPr>
            <w:r>
              <w:rPr/>
              <w:t>В случае если в настоящих ТТ и/или приложениях к ним указаны конкретные производители, торговые марки, фирменные наименования, модели или источник происхождения материалов и продукции, Субподрядчик, определенный в соответствии с результатами закупочной процедуры, на этапе исполнения договора может предложить эквивалентные материалы.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hanging="0" w:left="113"/>
              <w:jc w:val="both"/>
              <w:rPr/>
            </w:pPr>
            <w:r>
              <w:rPr/>
              <w:t>Эквивалентные материалы – это материалы, которые по техническим и функциональным характеристикам не уступают характеристикам, заявленным в документации о закупке, в том числе, по гарантийным срокам и срокам эксплуатации.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hanging="0" w:left="113"/>
              <w:jc w:val="both"/>
              <w:rPr/>
            </w:pPr>
            <w:r>
              <w:rPr/>
              <w:t>При этом, Субподрядчик должен предоставить Генеральному подрядчику исчерпывающую информацию (паспорт, подтверждающий характеристики) об эквивалентных материалах, а предлагаемые замены не должны оказывать влияние на безопасность объекта и обеспечивать выполнение требований проектной и рабочей документации и/или ведомости объемов работ.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hanging="0" w:left="113"/>
              <w:jc w:val="both"/>
              <w:rPr/>
            </w:pPr>
            <w:r>
              <w:rPr/>
              <w:t>В случае, если применение Субподрядчиком эквивалентных материалов будет согласовано Генеральным подрядчиком и потребует внесения изменений в проектную/рабочую документацию, такие изменения также производятся за счет Субподрядчика.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/>
            </w:pPr>
            <w:r>
              <w:rPr/>
              <w:t>Все поставляемые и применяемые запасные части и материалы должны быть новыми (не ранее 2023 года выпуска) и не использованными ранее.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22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  <w:t>Материалы перед их применением должны пройти входной контроль представителя эксплуатирующей организации.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34" w:leader="none"/>
              </w:tabs>
              <w:ind w:hanging="0" w:left="113"/>
              <w:jc w:val="both"/>
              <w:rPr/>
            </w:pPr>
            <w:r>
              <w:rPr/>
              <w:t>На используемые материалы должны быть представлены сертификаты или паспорта качества (соответствия).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8"/>
              </w:numPr>
              <w:ind w:hanging="360" w:left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Контроль качества используемых материалов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  <w:u w:val="single"/>
              </w:rPr>
              <w:t>Субподрядчик должен обеспечить входной контроль поступающих материалов, включающий в себя проверку: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285" w:leader="none"/>
              </w:tabs>
              <w:spacing w:before="0" w:after="0"/>
              <w:ind w:hanging="0" w:left="113"/>
              <w:contextualSpacing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наличия соответствующих сертификатов в соответствии с требованиями постановления Правительства Российской Федерации от 23.12.2021 № 2425 «Об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Федерации»;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2" w:leader="none"/>
              </w:tabs>
              <w:spacing w:before="0" w:after="0"/>
              <w:ind w:hanging="0" w:left="113"/>
              <w:contextualSpacing w:val="false"/>
              <w:jc w:val="both"/>
              <w:rPr/>
            </w:pPr>
            <w:r>
              <w:rPr>
                <w:rFonts w:eastAsia="Times New Roman"/>
              </w:rPr>
              <w:t>наличия и надлежащего заполнения документа о качестве и соответствии приведённых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2" w:leader="none"/>
              </w:tabs>
              <w:spacing w:before="0" w:after="0"/>
              <w:ind w:hanging="0" w:left="113"/>
              <w:contextualSpacing w:val="false"/>
              <w:jc w:val="both"/>
              <w:rPr/>
            </w:pPr>
            <w:r>
              <w:rPr>
                <w:rFonts w:eastAsia="Times New Roman"/>
              </w:rPr>
              <w:t>наличия маркировки, сохранности упаковки, наличия и сохранности защитных и окрасочных покрытий;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ind w:hanging="0" w:left="113"/>
              <w:jc w:val="both"/>
              <w:rPr>
                <w:color w:val="000000"/>
              </w:rPr>
            </w:pPr>
            <w:r>
              <w:rPr>
                <w:rFonts w:eastAsia="Times New Roman"/>
              </w:rPr>
              <w:t>комплектности поставляемых материалов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персоналу субподрядчика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9"/>
              </w:numPr>
              <w:ind w:hanging="360" w:left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Требования к персоналу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  <w:u w:val="single"/>
              </w:rPr>
              <w:t>К выполнению работ должны быть привлечены</w:t>
            </w:r>
            <w:r>
              <w:rPr>
                <w:sz w:val="24"/>
                <w:szCs w:val="24"/>
              </w:rPr>
              <w:t>: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tabs>
                <w:tab w:val="clear" w:pos="708"/>
                <w:tab w:val="left" w:pos="426" w:leader="none"/>
              </w:tabs>
              <w:ind w:hanging="0" w:left="57"/>
              <w:rPr/>
            </w:pPr>
            <w:r>
              <w:rPr/>
              <w:t>квалифицированный рабочий персонал с группами по электробезопасности (не ниже 2 группы)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57" w:leader="none"/>
              </w:tabs>
              <w:ind w:hanging="0" w:left="57"/>
              <w:rPr/>
            </w:pPr>
            <w:r>
              <w:rPr>
                <w:rFonts w:eastAsia="Times New Roman"/>
              </w:rPr>
              <w:t>административно-технический персонал с указанием групп по электробезопасности (не ниже 3 группы)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3165" w:hRule="atLeast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9"/>
              </w:numPr>
              <w:ind w:hanging="360" w:left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Документальное подтверждение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/>
            </w:pPr>
            <w:r>
              <w:rPr>
                <w:sz w:val="24"/>
                <w:szCs w:val="24"/>
                <w:u w:val="single"/>
              </w:rPr>
              <w:t>Для подтверждения принадлежности данных лиц к Субподрядчику до начала проведения работ в рамках исполнения договора после его заключения Субподрядчиком должны быть предоставлены: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персонала с указанием сведений о квалификации персонала, разряде и группе по электробезопасности с приложением копий 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специальностей).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копии трудового договора или копии трудовых книжек или копии приказов о приёме на работу;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копию страниц паспорта;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справку об отсутствии судимости;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заполненную анкету (форма Приложение № 4 к настоящим ТТ);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согласие на обработку персональных и иных охраняемых законном данных (форма Приложение № 5 к настоящим ТТ);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копии удостоверений по ЭБ;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копии протоколов по ЭБ;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о прохождении медосмотра и психиатрического освидетельствования, заверенными руководителем организации или уполномоченным лицом.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0"/>
              </w:numPr>
              <w:ind w:hanging="360" w:left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  <w:u w:val="single"/>
              </w:rPr>
              <w:t>Субподрядчик при производстве работ должен соблюдать: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ind w:hanging="0" w:left="113"/>
              <w:jc w:val="both"/>
              <w:rPr/>
            </w:pPr>
            <w:r>
              <w:rPr/>
              <w:t>Постановление Правительства РФ от 12.06.2024 N 2464 "О порядке обучения по охране труда и проверки знания требований охраны труда"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84" w:leader="none"/>
              </w:tabs>
              <w:ind w:hanging="0" w:left="113"/>
              <w:jc w:val="both"/>
              <w:rPr/>
            </w:pPr>
            <w:r>
              <w:rPr/>
              <w:t xml:space="preserve">  </w:t>
            </w:r>
            <w:r>
              <w:rPr/>
              <w:t>Правил    по    охране    труда     при   эксплуатации  электроустановок, утверждённых приказом Министерство труда и социальной защиты РФ от 15.12.2020г. № 903н, зарегистрированных в Минюсте России 30.12.2020 N 61957;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434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строительстве, реконструкции и ремонте, утверждённых приказом Минтруда России от 11.12.2020 N 883н, зарегистрированных в Минюсте России 24.12.2020 N 61787;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97" w:leader="none"/>
              </w:tabs>
              <w:ind w:hanging="0" w:left="113"/>
              <w:jc w:val="both"/>
              <w:rPr/>
            </w:pPr>
            <w:r>
              <w:rPr/>
              <w:t>Свод правил СП 12-136-2017 «Безопасность труда в строительстве» Часть 1.Общие требования, утвержденных Постановлением Госстроя РФ от </w:t>
            </w:r>
            <w:r>
              <w:rPr>
                <w:rStyle w:val="Strong"/>
                <w:b w:val="false"/>
                <w:bCs w:val="false"/>
                <w:color w:val="000000"/>
                <w:shd w:fill="FFFFFF" w:val="clear"/>
              </w:rPr>
              <w:t>29 декабря 2017 </w:t>
            </w:r>
            <w:r>
              <w:rPr>
                <w:rStyle w:val="Strong"/>
                <w:b w:val="false"/>
                <w:bCs w:val="false"/>
                <w:color w:val="000000"/>
              </w:rPr>
              <w:t> N</w:t>
            </w:r>
            <w:r>
              <w:rPr>
                <w:rStyle w:val="Strong"/>
                <w:b w:val="false"/>
                <w:bCs w:val="false"/>
                <w:color w:val="000000"/>
                <w:shd w:fill="FFFFFF" w:val="clear"/>
              </w:rPr>
              <w:t>1122</w:t>
            </w:r>
            <w:r>
              <w:rPr>
                <w:color w:val="000000"/>
              </w:rPr>
              <w:t>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34" w:leader="none"/>
                <w:tab w:val="left" w:pos="525" w:leader="none"/>
              </w:tabs>
              <w:ind w:hanging="0" w:left="113"/>
              <w:jc w:val="both"/>
              <w:rPr/>
            </w:pPr>
            <w:r>
              <w:rPr>
                <w:rStyle w:val="Strong"/>
                <w:b w:val="false"/>
                <w:bCs w:val="false"/>
              </w:rPr>
              <w:t>СП 12-136-2020</w:t>
            </w:r>
            <w:r>
              <w:rPr/>
              <w:t> «Безопасность труда в строительстве» Часть 2. Строительное Производство, утвержденных Постановлением Госстроя России </w:t>
            </w:r>
            <w:r>
              <w:rPr>
                <w:rStyle w:val="Strong"/>
                <w:b w:val="false"/>
                <w:bCs w:val="false"/>
                <w:color w:val="000000"/>
              </w:rPr>
              <w:t xml:space="preserve">№ </w:t>
            </w:r>
            <w:r>
              <w:rPr>
                <w:rStyle w:val="Strong"/>
                <w:b w:val="false"/>
                <w:bCs w:val="false"/>
                <w:shd w:fill="FFFFFF" w:val="clear"/>
              </w:rPr>
              <w:t>127/пр от 19 марта 2020 г</w:t>
            </w:r>
            <w:r>
              <w:rPr/>
              <w:t xml:space="preserve"> 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17" w:leader="none"/>
              </w:tabs>
              <w:ind w:hanging="0" w:left="113"/>
              <w:jc w:val="both"/>
              <w:rPr/>
            </w:pPr>
            <w:r>
              <w:rPr/>
              <w:t>СП 12-136-2002  «Решения по охране труда и промышленной    безопасности в ПНР и ПОС», утвержденных  Постановлением Госстроя РФ от 17.09.2002 N 122;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22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погрузочно-разгрузочных работах и размещении грузов»,  утверждённых приказом Минтруда России от 28.10.2020 г. № 753н, зарегистрированных в Минюсте России 15.12.2020 N 61471;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09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ГОСТ 12.3.009-76 «ССБТ. Работы погрузочно-разгрузочные. Общие требования       безопасности», утвержден Постановлением Госстандарта СССР от 23.03.1976 N 670;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90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Постановление Правительства РФ от 10.09.2020 N 1391 "Об утверждении Правил охраны поверхностных водных объектов";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17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ФЗ № 7 от 10.01.2002 г «Об охране окружающей среды»;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Правил противопожарного режима в Российской Федерации, утверждённых постановлением Правительства РФ от 16.09.2020 N 1479;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17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45.13330.2017. Свод правил. Земляные сооружения, основания и фундаменты. (Введен в действие Приказом Минстроя России от 27.02.2017 N 125/пр);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17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Приказ Минстроя России от 27.07.2017 N 1033/пр "Об утверждении СП 68.13330.2017 "СНиП 3.01.04-87 Приемка в эксплуатацию законченных строительством объектов. Основные положения";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/>
            </w:pPr>
            <w:r>
              <w:rPr/>
              <w:t>Приказ Минстроя Российской Федерации от 02.12.2022 № 1026/пр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72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работе с инструментом и приспособлениями, утверждённых Приказом Минтруда России от 27.11.2020 г. № 835н, зарегистрированных в Минюсте России 11.12.2020 N 61411;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45" w:leader="none"/>
                <w:tab w:val="left" w:pos="660" w:leader="none"/>
              </w:tabs>
              <w:ind w:hanging="0" w:left="113"/>
              <w:jc w:val="both"/>
              <w:rPr/>
            </w:pPr>
            <w:r>
              <w:rPr/>
              <w:t>Заводскими инструкциями.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1"/>
              </w:numPr>
              <w:ind w:hanging="360" w:left="36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Результатом выполнения работ должно быть работоспособное техническое состояние объекта в соответствии с пожарными, инженерными, санитарно-гигиеническими и строительными нормативами. Объем выполняемых работ должен соответствовать Приложению № 3 настоящих ТТ.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2"/>
              </w:numPr>
              <w:tabs>
                <w:tab w:val="clear" w:pos="708"/>
                <w:tab w:val="left" w:pos="1032" w:leader="none"/>
              </w:tabs>
              <w:ind w:hanging="360" w:left="360"/>
              <w:jc w:val="both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По результатам выполнения работ должен быть достигнут ввод объекта в эксплуатацию.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3"/>
              </w:numPr>
              <w:tabs>
                <w:tab w:val="clear" w:pos="708"/>
                <w:tab w:val="left" w:pos="1007" w:leader="none"/>
              </w:tabs>
              <w:ind w:hanging="360" w:left="360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Перед передачей результатов работ Субподрядчик обязан передать Генеральному подрядчику «Отчёт о выполненных работах»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447" w:hRule="atLeast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4"/>
              </w:numPr>
              <w:tabs>
                <w:tab w:val="clear" w:pos="708"/>
                <w:tab w:val="left" w:pos="1032" w:leader="none"/>
              </w:tabs>
              <w:ind w:hanging="360" w:left="360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Документы, передаваемые Генеральному подрядчику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  <w:u w:val="single"/>
              </w:rPr>
              <w:t>Субподрядчик по результатам выполненных работ обязан</w:t>
            </w:r>
            <w:r>
              <w:rPr>
                <w:sz w:val="24"/>
                <w:szCs w:val="24"/>
              </w:rPr>
              <w:t xml:space="preserve"> одновременно с передачей актов приёмки выполненных работ по форме КС-2 передать Генеральному подрядчику «Отчёт о выполненных работах», включая: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комиссионные акты входного контроля закупаемых Субподрядчиком материалов на соответствие продукции требованиям технической документации;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сертификаты, паспорта, подтверждающие качество и соответствие требованиям нормативно-технической документации материалов (форма завода-изготовителя);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протоколы испытаний;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акты приёмки скрытых работ;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исполнительные схемы на земляные и берегоукрепительные работы;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hanging="0" w:left="113"/>
              <w:rPr>
                <w:rFonts w:eastAsia="Times New Roman"/>
              </w:rPr>
            </w:pPr>
            <w:r>
              <w:rPr>
                <w:rFonts w:eastAsia="Times New Roman"/>
              </w:rPr>
              <w:t>справку о фактических трудозатратах при выполнении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443" w:leader="none"/>
              </w:tabs>
              <w:ind w:hanging="0" w:left="0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443" w:leader="none"/>
              </w:tabs>
              <w:ind w:hanging="0" w:left="0"/>
              <w:rPr/>
            </w:pPr>
            <w:r>
              <w:rPr/>
              <w:t>3.1</w:t>
            </w:r>
          </w:p>
        </w:tc>
        <w:tc>
          <w:tcPr>
            <w:tcW w:w="99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285" w:leader="none"/>
              </w:tabs>
              <w:ind w:hanging="0" w:left="113"/>
              <w:rPr/>
            </w:pPr>
            <w:r>
              <w:rPr>
                <w:sz w:val="24"/>
                <w:szCs w:val="24"/>
              </w:rPr>
              <w:t>Свод правил СП 71.13330.2017 "Изоляционные и отделочные покрытия"</w:t>
            </w:r>
          </w:p>
          <w:p>
            <w:pPr>
              <w:pStyle w:val="Normal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285" w:leader="none"/>
              </w:tabs>
              <w:ind w:hanging="0" w:left="113"/>
              <w:rPr/>
            </w:pPr>
            <w:r>
              <w:rPr>
                <w:sz w:val="24"/>
                <w:szCs w:val="24"/>
              </w:rPr>
              <w:t>Свод правил СП 17.13330.2017 СНиП II-26-76 Кровли;</w:t>
            </w:r>
          </w:p>
          <w:p>
            <w:pPr>
              <w:pStyle w:val="Normal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285" w:leader="none"/>
              </w:tabs>
              <w:ind w:hanging="0" w:left="113"/>
              <w:rPr/>
            </w:pPr>
            <w:r>
              <w:rPr>
                <w:sz w:val="24"/>
                <w:szCs w:val="24"/>
              </w:rPr>
              <w:t>Свод правил  СП 30.13330.2020 Внутренний водопровод и канализация зданий.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b/>
                <w:sz w:val="24"/>
                <w:szCs w:val="24"/>
              </w:rPr>
              <w:t>Требования к ответственности и гарантиям субподрядчика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ind w:hanging="720" w:left="720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Гарантийный срок по Договору составляет 36 (тридцать шесть) месяцев</w:t>
            </w:r>
          </w:p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и начинает течь с даты подписания Сторонами Акта КС-2 либо с даты прекращения (расторжения) Договора. Гарантийный срок может быть продлен в соответствии с условиями Договора.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субподрядчику (и субсубподрядчикам) и его обязательствам, влияющим на исполнение договора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5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Требования к Субсубподрядным организациям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В случае привлечения к выполнению работ Субсубподрядных организаций Субподрядчик обязан представить генеральному подрядчику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sectPr>
          <w:headerReference w:type="default" r:id="rId4"/>
          <w:headerReference w:type="first" r:id="rId5"/>
          <w:footerReference w:type="default" r:id="rId6"/>
          <w:footerReference w:type="first" r:id="rId7"/>
          <w:type w:val="nextPage"/>
          <w:pgSz w:orient="landscape" w:w="16838" w:h="11906"/>
          <w:pgMar w:left="1134" w:right="851" w:gutter="0" w:header="680" w:top="851" w:footer="737" w:bottom="851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Normal"/>
        <w:keepNext w:val="true"/>
        <w:numPr>
          <w:ilvl w:val="0"/>
          <w:numId w:val="3"/>
        </w:numPr>
        <w:tabs>
          <w:tab w:val="clear" w:pos="708"/>
          <w:tab w:val="left" w:pos="567" w:leader="none"/>
        </w:tabs>
        <w:ind w:hanging="1560" w:left="1560"/>
        <w:outlineLvl w:val="0"/>
        <w:rPr>
          <w:rFonts w:eastAsia="Calibri"/>
          <w:b/>
          <w:sz w:val="24"/>
          <w:szCs w:val="24"/>
          <w:lang w:val="x-none" w:eastAsia="x-none"/>
        </w:rPr>
      </w:pPr>
      <w:bookmarkStart w:id="43" w:name="__RefHeading___Toc2095_1456059687"/>
      <w:bookmarkStart w:id="44" w:name="_Ref40301253"/>
      <w:bookmarkStart w:id="45" w:name="_Toc124516424"/>
      <w:bookmarkStart w:id="46" w:name="_Toc53393312"/>
      <w:bookmarkEnd w:id="43"/>
      <w:r>
        <w:rPr>
          <w:rFonts w:eastAsia="Calibri"/>
          <w:b/>
          <w:sz w:val="24"/>
          <w:szCs w:val="24"/>
          <w:lang w:val="x-none" w:eastAsia="x-none"/>
        </w:rPr>
        <w:t>Требования к документации по ценообразованию</w:t>
      </w:r>
      <w:bookmarkEnd w:id="46"/>
      <w:r>
        <w:rPr>
          <w:rFonts w:eastAsia="Calibri"/>
          <w:b/>
          <w:sz w:val="24"/>
          <w:szCs w:val="24"/>
          <w:lang w:val="x-none" w:eastAsia="x-none"/>
        </w:rPr>
        <w:t xml:space="preserve"> на этапе закупки</w:t>
      </w:r>
      <w:bookmarkEnd w:id="45"/>
    </w:p>
    <w:p>
      <w:pPr>
        <w:pStyle w:val="Normal"/>
        <w:jc w:val="both"/>
        <w:rPr>
          <w:b/>
          <w:sz w:val="24"/>
          <w:szCs w:val="24"/>
        </w:rPr>
      </w:pPr>
      <w:bookmarkStart w:id="47" w:name="_Toc124516425"/>
      <w:r>
        <w:rPr>
          <w:sz w:val="24"/>
          <w:szCs w:val="24"/>
        </w:rPr>
        <w:t>В обоснование стоимости своей заявки Участник предоставляет Коммерческое предложение по форме (с учётом прилагаемой к ней инструкции по заполнению), приведённой в Документации о закупке (с указанием понижающего коэффициента</w:t>
      </w:r>
      <w:bookmarkEnd w:id="47"/>
      <w:r>
        <w:rPr>
          <w:sz w:val="24"/>
          <w:szCs w:val="24"/>
        </w:rPr>
        <w:t>, величину данного коэффициента рекомендуется учитывать с округление до 7 знаков после запятой).</w:t>
      </w:r>
    </w:p>
    <w:p>
      <w:pPr>
        <w:pStyle w:val="Normal"/>
        <w:jc w:val="both"/>
        <w:rPr>
          <w:b/>
          <w:sz w:val="24"/>
          <w:szCs w:val="24"/>
        </w:rPr>
      </w:pPr>
      <w:bookmarkStart w:id="48" w:name="_Toc124516426"/>
      <w:r>
        <w:rPr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  <w:bookmarkEnd w:id="48"/>
    </w:p>
    <w:p>
      <w:pPr>
        <w:pStyle w:val="Heading1"/>
        <w:numPr>
          <w:ilvl w:val="0"/>
          <w:numId w:val="3"/>
        </w:numPr>
        <w:ind w:hanging="567" w:left="567"/>
        <w:rPr>
          <w:sz w:val="24"/>
          <w:szCs w:val="24"/>
        </w:rPr>
      </w:pPr>
      <w:bookmarkStart w:id="49" w:name="_Toc124516427"/>
      <w:r>
        <w:rPr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Start w:id="50" w:name="_Toc124516429"/>
      <w:bookmarkEnd w:id="49"/>
      <w:r>
        <w:rPr>
          <w:sz w:val="24"/>
          <w:szCs w:val="24"/>
        </w:rPr>
        <w:t xml:space="preserve"> </w:t>
      </w:r>
      <w:bookmarkEnd w:id="50"/>
    </w:p>
    <w:p>
      <w:pPr>
        <w:pStyle w:val="Normal"/>
        <w:jc w:val="both"/>
        <w:rPr/>
      </w:pPr>
      <w:r>
        <w:rPr>
          <w:rFonts w:ascii="Times              New Roman;Ti" w:hAnsi="Times              New Roman;Ti"/>
          <w:sz w:val="24"/>
          <w:szCs w:val="24"/>
        </w:rPr>
        <w:t>4.1. По результатам настоящей закупки заключается договор с предельной ценой, путем применения к начальной (максимальной) цене договора понижающего коэффициента, указанного в заявке Участника, с которым принято решение заключить договор.</w:t>
      </w:r>
    </w:p>
    <w:p>
      <w:pPr>
        <w:pStyle w:val="BodyText"/>
        <w:spacing w:before="0" w:after="0"/>
        <w:jc w:val="both"/>
        <w:rPr/>
      </w:pPr>
      <w:r>
        <w:rPr>
          <w:rFonts w:ascii="Times              New Roman;Ti" w:hAnsi="Times              New Roman;Ti"/>
          <w:sz w:val="24"/>
        </w:rPr>
        <w:t xml:space="preserve">4.2 В рамках исполнения договора взаиморасчеты будут осуществляться по смете, выданной Генеральным подрядчиком в производство работ, составленной в соответствии с требованиями, указанными в приложении № 1 к настоящему Техническому заданию, с учетом понижающего коэффициента учитывать по результатам закупки. </w:t>
      </w:r>
    </w:p>
    <w:p>
      <w:pPr>
        <w:pStyle w:val="BodyText"/>
        <w:spacing w:before="0" w:after="0"/>
        <w:jc w:val="both"/>
        <w:rPr/>
      </w:pPr>
      <w:r>
        <w:rPr>
          <w:rFonts w:ascii="Times              New Roman;Ti" w:hAnsi="Times              New Roman;Ti"/>
          <w:sz w:val="24"/>
        </w:rPr>
        <w:t xml:space="preserve">4.3 Указанный коэффициент начисляется в каждой локальной смете к итогу. </w:t>
      </w:r>
    </w:p>
    <w:p>
      <w:pPr>
        <w:pStyle w:val="BodyText"/>
        <w:spacing w:before="0" w:after="0"/>
        <w:jc w:val="both"/>
        <w:rPr>
          <w:rFonts w:ascii="Times              New Roman;Ti" w:hAnsi="Times              New Roman;Ti"/>
          <w:sz w:val="24"/>
        </w:rPr>
      </w:pPr>
      <w:r>
        <w:rPr>
          <w:rFonts w:ascii="Times              New Roman;Ti" w:hAnsi="Times              New Roman;Ti"/>
          <w:sz w:val="24"/>
        </w:rPr>
        <w:t xml:space="preserve">4.4 </w:t>
      </w:r>
      <w:r>
        <w:rPr>
          <w:rFonts w:ascii="Times              New Roman;Ti" w:hAnsi="Times              New Roman;Ti"/>
          <w:sz w:val="24"/>
          <w:szCs w:val="24"/>
        </w:rPr>
        <w:t xml:space="preserve">В сметной документации  предусмотреть резерв средств на непредвиденные работы и затраты в размере 1,5%. Непредвиденные работы и затраты оплачиваются за фактически </w:t>
      </w:r>
      <w:r>
        <w:rPr>
          <w:rFonts w:ascii="Times              New Roman;Ti" w:hAnsi="Times              New Roman;Ti"/>
          <w:color w:val="auto"/>
          <w:sz w:val="24"/>
          <w:szCs w:val="24"/>
        </w:rPr>
        <w:t>выполненные работы.</w:t>
      </w:r>
    </w:p>
    <w:p>
      <w:pPr>
        <w:pStyle w:val="BodyText"/>
        <w:spacing w:before="0" w:after="0"/>
        <w:jc w:val="both"/>
        <w:rPr>
          <w:color w:val="auto"/>
        </w:rPr>
      </w:pPr>
      <w:r>
        <w:rPr>
          <w:rFonts w:ascii="Times New Roman;Times;serif" w:hAnsi="Times New Roman;Times;serif"/>
          <w:color w:val="auto"/>
          <w:sz w:val="24"/>
        </w:rPr>
        <w:t>4.5 В случае, если стоимость по смете, выданной в производство</w:t>
      </w:r>
      <w:r>
        <w:rPr>
          <w:rFonts w:ascii="Times              New Roman;se" w:hAnsi="Times              New Roman;se"/>
          <w:color w:val="auto"/>
          <w:sz w:val="24"/>
        </w:rPr>
        <w:t xml:space="preserve">  </w:t>
      </w:r>
      <w:r>
        <w:rPr>
          <w:rFonts w:ascii="Times New                Roman;" w:hAnsi="Times New                Roman;"/>
          <w:color w:val="auto"/>
          <w:sz w:val="24"/>
        </w:rPr>
        <w:t>работ, будет превышать предельную стоимость, указанную в Коммерческом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</w:p>
    <w:p>
      <w:pPr>
        <w:pStyle w:val="BodyText"/>
        <w:spacing w:before="0" w:after="0"/>
        <w:jc w:val="both"/>
        <w:rPr>
          <w:rFonts w:ascii="Times              New Roman;se" w:hAnsi="Times              New Roman;se"/>
          <w:sz w:val="24"/>
        </w:rPr>
      </w:pPr>
      <w:r>
        <w:rPr>
          <w:rFonts w:ascii="Times New Roman;Times;serif" w:hAnsi="Times New Roman;Times;serif"/>
          <w:sz w:val="24"/>
        </w:rPr>
        <w:t>4.6 В случае, если стоимость по смете, выданной в производство</w:t>
      </w:r>
      <w:r>
        <w:rPr>
          <w:rFonts w:ascii="Times              New Roman;se" w:hAnsi="Times              New Roman;se"/>
          <w:sz w:val="24"/>
        </w:rPr>
        <w:t xml:space="preserve">  </w:t>
      </w:r>
      <w:r>
        <w:rPr>
          <w:rFonts w:ascii="Times New                Roman;" w:hAnsi="Times New                Roman;"/>
          <w:sz w:val="24"/>
        </w:rPr>
        <w:t>работ, будет ниже стоимости, указанной в Коммерческом предложении, взаиморасчеты будут осуществляться по данной смете без увеличения стоимости, указанной в Коммерческом предложении</w:t>
      </w:r>
      <w:r>
        <w:rPr>
          <w:rFonts w:ascii="Times              New Roman;se" w:hAnsi="Times              New Roman;se"/>
          <w:sz w:val="24"/>
        </w:rPr>
        <w:t>, с учетом понижающего коэффициента по результатам закупки.</w:t>
      </w:r>
    </w:p>
    <w:p>
      <w:pPr>
        <w:pStyle w:val="BodyText"/>
        <w:spacing w:before="0" w:after="0"/>
        <w:jc w:val="both"/>
        <w:rPr>
          <w:rFonts w:ascii="Times              New Roman;Ti" w:hAnsi="Times              New Roman;Ti"/>
          <w:sz w:val="24"/>
        </w:rPr>
      </w:pPr>
      <w:r>
        <w:rPr>
          <w:rFonts w:ascii="Times              New Roman;Ti" w:hAnsi="Times              New Roman;Ti"/>
          <w:sz w:val="24"/>
        </w:rPr>
        <w:t>4.7. Требования к составлению сметной документации (на этапе исполнения договора):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4.8.1. 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1 к настоящим Техническим требованиям, с применением понижающего коэффициента, определенного по результатам конкурентной закупки (п.4.1).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предусматривается.</w:t>
      </w:r>
    </w:p>
    <w:p>
      <w:pPr>
        <w:pStyle w:val="Heading1"/>
        <w:numPr>
          <w:ilvl w:val="0"/>
          <w:numId w:val="3"/>
        </w:numPr>
        <w:ind w:hanging="567" w:left="567"/>
        <w:rPr>
          <w:sz w:val="24"/>
          <w:szCs w:val="24"/>
        </w:rPr>
      </w:pPr>
      <w:bookmarkStart w:id="51" w:name="__RefHeading___Toc2099_1456059687"/>
      <w:bookmarkEnd w:id="51"/>
      <w:r>
        <w:rPr>
          <w:sz w:val="24"/>
          <w:szCs w:val="24"/>
        </w:rPr>
        <w:t>Приложения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1:</w:t>
      </w:r>
      <w:r>
        <w:rPr>
          <w:bCs/>
          <w:iCs/>
          <w:sz w:val="24"/>
          <w:szCs w:val="24"/>
        </w:rPr>
        <w:t xml:space="preserve"> </w:t>
      </w:r>
      <w:bookmarkStart w:id="52" w:name="_Hlk87545766"/>
      <w:bookmarkEnd w:id="52"/>
      <w:r>
        <w:rPr>
          <w:bCs/>
          <w:iCs/>
          <w:sz w:val="24"/>
          <w:szCs w:val="24"/>
        </w:rPr>
        <w:t>Требования к оформлению и составлению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/>
      </w:pPr>
      <w:r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документации по ценообразованию;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2:</w:t>
      </w:r>
      <w:r>
        <w:rPr>
          <w:bCs/>
          <w:iCs/>
          <w:sz w:val="24"/>
          <w:szCs w:val="24"/>
        </w:rPr>
        <w:t xml:space="preserve"> Регламент процесса Допуска персонала подрядных организаций на объекты ПАО “РусГидро” Приказ ПАО «РусГидро» от 28.04.2023 № 300.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rFonts w:eastAsia="Calibri"/>
          <w:i/>
          <w:i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3:</w:t>
      </w:r>
      <w:r>
        <w:rPr>
          <w:iCs/>
          <w:sz w:val="24"/>
          <w:szCs w:val="24"/>
        </w:rPr>
        <w:t xml:space="preserve"> Рабочая документация;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4</w:t>
      </w:r>
      <w:r>
        <w:rPr>
          <w:bCs/>
          <w:iCs/>
          <w:sz w:val="24"/>
          <w:szCs w:val="24"/>
        </w:rPr>
        <w:t>: Анкета;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5</w:t>
      </w:r>
      <w:r>
        <w:rPr>
          <w:bCs/>
          <w:iCs/>
          <w:sz w:val="24"/>
          <w:szCs w:val="24"/>
        </w:rPr>
        <w:t>: Согласие на обработку персональных и иных охраняемых законом данных;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6</w:t>
      </w:r>
      <w:r>
        <w:rPr>
          <w:bCs/>
          <w:iCs/>
          <w:sz w:val="24"/>
          <w:szCs w:val="24"/>
        </w:rPr>
        <w:t xml:space="preserve">: </w:t>
      </w:r>
      <w:r>
        <w:rPr>
          <w:sz w:val="24"/>
          <w:szCs w:val="24"/>
        </w:rPr>
        <w:t>СТО РусГидро 05.02.126-2020</w:t>
      </w:r>
      <w:r>
        <w:rPr>
          <w:iCs/>
          <w:sz w:val="24"/>
          <w:szCs w:val="24"/>
        </w:rPr>
        <w:t>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7</w:t>
      </w:r>
      <w:r>
        <w:rPr>
          <w:bCs/>
          <w:iCs/>
          <w:sz w:val="24"/>
          <w:szCs w:val="24"/>
        </w:rPr>
        <w:t xml:space="preserve">: </w:t>
      </w:r>
      <w:r>
        <w:rPr>
          <w:iCs/>
          <w:sz w:val="24"/>
          <w:szCs w:val="24"/>
        </w:rPr>
        <w:t>СТО РусГидро 02.01.62 – 202</w:t>
      </w:r>
      <w:bookmarkEnd w:id="44"/>
      <w:r>
        <w:rPr>
          <w:iCs/>
          <w:sz w:val="24"/>
          <w:szCs w:val="24"/>
        </w:rPr>
        <w:t>1;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>Приложение № 8:</w:t>
      </w:r>
      <w:r>
        <w:rPr>
          <w:sz w:val="24"/>
          <w:szCs w:val="24"/>
        </w:rPr>
        <w:t xml:space="preserve"> Перечень давальческого Оборудования.</w:t>
      </w:r>
    </w:p>
    <w:sectPr>
      <w:headerReference w:type="default" r:id="rId8"/>
      <w:headerReference w:type="first" r:id="rId9"/>
      <w:footerReference w:type="default" r:id="rId10"/>
      <w:footerReference w:type="first" r:id="rId11"/>
      <w:type w:val="nextPage"/>
      <w:pgSz w:w="11906" w:h="16838"/>
      <w:pgMar w:left="1134" w:right="851" w:gutter="0" w:header="680" w:top="1134" w:footer="737" w:bottom="992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Times              New Roman">
    <w:altName w:val="Ti"/>
    <w:charset w:val="01"/>
    <w:family w:val="roman"/>
    <w:pitch w:val="variable"/>
  </w:font>
  <w:font w:name="Times New Roman">
    <w:altName w:val="Ti"/>
    <w:charset w:val="01"/>
    <w:family w:val="roman"/>
    <w:pitch w:val="variable"/>
  </w:font>
  <w:font w:name="Times New Roman">
    <w:altName w:val="Times"/>
    <w:charset w:val="01"/>
    <w:family w:val="roman"/>
    <w:pitch w:val="variable"/>
  </w:font>
  <w:font w:name="Times              New Roman">
    <w:altName w:val="se"/>
    <w:charset w:val="01"/>
    <w:family w:val="roman"/>
    <w:pitch w:val="variable"/>
  </w:font>
  <w:font w:name="Times New               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14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15</w:t>
    </w:r>
    <w:r>
      <w:rPr/>
      <w:fldChar w:fldCharType="end"/>
    </w:r>
  </w:p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022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2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/>
        <w:szCs w:val="24"/>
        <w:bCs/>
      </w:rPr>
    </w:lvl>
    <w:lvl w:ilvl="2">
      <w:start w:val="1"/>
      <w:numFmt w:val="decimal"/>
      <w:lvlText w:val="1.2.%3"/>
      <w:lvlJc w:val="left"/>
      <w:pPr>
        <w:tabs>
          <w:tab w:val="num" w:pos="0"/>
        </w:tabs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  <w:i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4460"/>
        </w:tabs>
        <w:ind w:left="51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4.%1"/>
      <w:lvlJc w:val="left"/>
      <w:pPr>
        <w:tabs>
          <w:tab w:val="num" w:pos="0"/>
        </w:tabs>
        <w:ind w:left="100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9" w:hanging="180"/>
      </w:pPr>
      <w:rPr/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decimal"/>
      <w:lvlText w:val="1.%1.1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decimal"/>
      <w:lvlText w:val="1.2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decimal"/>
      <w:lvlText w:val="1.3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decimal"/>
      <w:lvlText w:val="1.4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9">
    <w:lvl w:ilvl="0">
      <w:start w:val="1"/>
      <w:numFmt w:val="decimal"/>
      <w:lvlText w:val="1.5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0">
    <w:lvl w:ilvl="0">
      <w:start w:val="1"/>
      <w:numFmt w:val="decimal"/>
      <w:lvlText w:val="1.6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1">
    <w:lvl w:ilvl="0">
      <w:start w:val="1"/>
      <w:numFmt w:val="decimal"/>
      <w:lvlText w:val="2.1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2">
    <w:lvl w:ilvl="0">
      <w:start w:val="1"/>
      <w:numFmt w:val="decimal"/>
      <w:lvlText w:val="2.2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3">
    <w:lvl w:ilvl="0">
      <w:start w:val="1"/>
      <w:numFmt w:val="decimal"/>
      <w:lvlText w:val="2.3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4">
    <w:lvl w:ilvl="0">
      <w:start w:val="1"/>
      <w:numFmt w:val="decimal"/>
      <w:lvlText w:val="2.4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5">
    <w:lvl w:ilvl="0">
      <w:start w:val="1"/>
      <w:numFmt w:val="decimal"/>
      <w:lvlText w:val="5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6"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9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5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97" w:hanging="360"/>
      </w:pPr>
      <w:rPr>
        <w:rFonts w:ascii="Wingdings" w:hAnsi="Wingdings" w:cs="Wingdings" w:hint="default"/>
      </w:rPr>
    </w:lvl>
  </w:abstractNum>
  <w:abstractNum w:abstractNumId="2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8"/>
        <w:szCs w:val="28"/>
      </w:rPr>
    </w:lvl>
  </w:abstractNum>
  <w:abstractNum w:abstractNumId="29"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  <w:sz w:val="28"/>
        <w:szCs w:val="28"/>
      </w:rPr>
    </w:lvl>
  </w:abstractNum>
  <w:abstractNum w:abstractNumId="3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pPr>
      <w:keepNext w:val="true"/>
      <w:tabs>
        <w:tab w:val="clear" w:pos="708"/>
        <w:tab w:val="left" w:pos="0" w:leader="none"/>
        <w:tab w:val="left" w:pos="735" w:leader="none"/>
        <w:tab w:val="left" w:pos="960" w:leader="none"/>
      </w:tabs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1" w:customStyle="1">
    <w:name w:val="Strong1"/>
    <w:qFormat/>
    <w:rPr>
      <w:b/>
      <w:bCs/>
    </w:rPr>
  </w:style>
  <w:style w:type="character" w:styleId="6" w:customStyle="1">
    <w:name w:val="Заголовок 6 Знак"/>
    <w:qFormat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qFormat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qFormat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qFormat/>
    <w:rPr>
      <w:sz w:val="28"/>
    </w:rPr>
  </w:style>
  <w:style w:type="character" w:styleId="Style2" w:customStyle="1">
    <w:name w:val="Подзаголовок Знак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qFormat/>
    <w:rPr>
      <w:i/>
      <w:iCs/>
    </w:rPr>
  </w:style>
  <w:style w:type="character" w:styleId="21" w:customStyle="1">
    <w:name w:val="Цитата 2 Знак"/>
    <w:link w:val="Quote"/>
    <w:qFormat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qFormat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4"/>
    <w:qFormat/>
    <w:rPr>
      <w:sz w:val="28"/>
    </w:rPr>
  </w:style>
  <w:style w:type="character" w:styleId="Style5" w:customStyle="1">
    <w:name w:val="Текст сноски Знак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link w:val="ListParagraph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link w:val="Style32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qFormat/>
    <w:rPr>
      <w:sz w:val="24"/>
      <w:szCs w:val="24"/>
    </w:rPr>
  </w:style>
  <w:style w:type="character" w:styleId="Style11" w:customStyle="1">
    <w:name w:val="Текст примечания Знак"/>
    <w:link w:val="Annotationtext"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Pr>
      <w:b/>
      <w:sz w:val="28"/>
    </w:rPr>
  </w:style>
  <w:style w:type="character" w:styleId="12" w:customStyle="1">
    <w:name w:val="УРОВЕНЬ_1. Знак"/>
    <w:link w:val="19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Style14" w:customStyle="1">
    <w:name w:val="Нижний колонтитул Знак"/>
    <w:basedOn w:val="DefaultParagraphFont"/>
    <w:qFormat/>
    <w:rPr>
      <w:sz w:val="28"/>
      <w:szCs w:val="28"/>
    </w:rPr>
  </w:style>
  <w:style w:type="character" w:styleId="Style15" w:customStyle="1">
    <w:name w:val="Ссылка указателя"/>
    <w:qFormat/>
    <w:rPr/>
  </w:style>
  <w:style w:type="character" w:styleId="Style16" w:customStyle="1">
    <w:name w:val="Маркеры"/>
    <w:qFormat/>
    <w:rPr>
      <w:rFonts w:ascii="Times New Roman" w:hAnsi="Times New Roman" w:eastAsia="OpenSymbol" w:cs="OpenSymbol"/>
      <w:sz w:val="28"/>
      <w:szCs w:val="28"/>
    </w:rPr>
  </w:style>
  <w:style w:type="character" w:styleId="Style17" w:customStyle="1">
    <w:name w:val="Символ нумерации"/>
    <w:qFormat/>
    <w:rPr/>
  </w:style>
  <w:style w:type="character" w:styleId="Strong">
    <w:name w:val="Strong"/>
    <w:qFormat/>
    <w:rPr>
      <w:b/>
      <w:bCs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PT Sans" w:hAnsi="PT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Style20" w:customStyle="1">
    <w:name w:val="Название раздела инструкции"/>
    <w:basedOn w:val="Normal"/>
    <w:autoRedefine/>
    <w:qFormat/>
    <w:pPr>
      <w:jc w:val="center"/>
    </w:pPr>
    <w:rPr>
      <w:b/>
    </w:rPr>
  </w:style>
  <w:style w:type="paragraph" w:styleId="Style21" w:customStyle="1">
    <w:name w:val="Раздел положения"/>
    <w:basedOn w:val="Normal"/>
    <w:autoRedefine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2" w:customStyle="1">
    <w:name w:val="Подраздел раздела положения"/>
    <w:basedOn w:val="Normal"/>
    <w:autoRedefine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qFormat/>
    <w:pPr>
      <w:jc w:val="center"/>
    </w:pPr>
    <w:rPr>
      <w:szCs w:val="20"/>
      <w:lang w:val="x-none" w:eastAsia="x-none"/>
    </w:rPr>
  </w:style>
  <w:style w:type="paragraph" w:styleId="Style23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hanging="0" w:left="360"/>
    </w:pPr>
    <w:rPr>
      <w:sz w:val="24"/>
      <w:szCs w:val="24"/>
    </w:rPr>
  </w:style>
  <w:style w:type="paragraph" w:styleId="Footer">
    <w:name w:val="Footer"/>
    <w:basedOn w:val="Normal"/>
    <w:link w:val="Style1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hanging="0" w:left="283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hanging="0" w:left="283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hanging="0" w:left="-567" w:right="-766"/>
      <w:jc w:val="center"/>
    </w:pPr>
    <w:rPr>
      <w:b/>
      <w:bCs/>
      <w:sz w:val="24"/>
      <w:szCs w:val="20"/>
    </w:rPr>
  </w:style>
  <w:style w:type="paragraph" w:styleId="Style24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napToGrid w:val="false"/>
      <w:spacing w:lineRule="auto" w:line="360"/>
      <w:ind w:hanging="1134" w:left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hanging="1134" w:left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pPr>
      <w:tabs>
        <w:tab w:val="clear" w:pos="708"/>
        <w:tab w:val="left" w:pos="567" w:leader="none"/>
        <w:tab w:val="right" w:pos="9911" w:leader="dot"/>
      </w:tabs>
    </w:pPr>
    <w:rPr>
      <w:rFonts w:cs="Calibri"/>
      <w:sz w:val="20"/>
      <w:szCs w:val="20"/>
    </w:rPr>
  </w:style>
  <w:style w:type="paragraph" w:styleId="Style25" w:customStyle="1">
    <w:name w:val="Раздел регламента"/>
    <w:basedOn w:val="Normal"/>
    <w:qFormat/>
    <w:pPr/>
    <w:rPr/>
  </w:style>
  <w:style w:type="paragraph" w:styleId="Style26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autoRedefine/>
    <w:pPr>
      <w:spacing w:before="240" w:after="0"/>
    </w:pPr>
    <w:rPr>
      <w:rFonts w:cs="Calibri"/>
      <w:b/>
      <w:bCs/>
      <w:sz w:val="20"/>
      <w:szCs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16" w:customStyle="1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pPr>
      <w:ind w:hanging="0" w:left="1960"/>
    </w:pPr>
    <w:rPr>
      <w:rFonts w:ascii="Calibri" w:hAnsi="Calibri" w:cs="Calibri"/>
      <w:sz w:val="20"/>
      <w:szCs w:val="20"/>
    </w:rPr>
  </w:style>
  <w:style w:type="paragraph" w:styleId="TOC5">
    <w:name w:val="TOC 5"/>
    <w:basedOn w:val="Normal"/>
    <w:next w:val="Normal"/>
    <w:autoRedefine/>
    <w:pPr>
      <w:ind w:hanging="0" w:left="840"/>
    </w:pPr>
    <w:rPr>
      <w:rFonts w:ascii="Calibri" w:hAnsi="Calibri" w:cs="Calibri"/>
      <w:sz w:val="20"/>
      <w:szCs w:val="20"/>
    </w:rPr>
  </w:style>
  <w:style w:type="paragraph" w:styleId="TOC4">
    <w:name w:val="TOC 4"/>
    <w:basedOn w:val="Normal"/>
    <w:next w:val="Normal"/>
    <w:autoRedefine/>
    <w:pPr>
      <w:tabs>
        <w:tab w:val="clear" w:pos="708"/>
        <w:tab w:val="left" w:pos="567" w:leader="none"/>
        <w:tab w:val="right" w:pos="9911" w:leader="dot"/>
      </w:tabs>
    </w:pPr>
    <w:rPr>
      <w:rFonts w:cs="Calibr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7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Caption1111111" w:customStyle="1">
    <w:name w:val="caption1111111"/>
    <w:basedOn w:val="Normal"/>
    <w:next w:val="Normal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qFormat/>
    <w:pPr>
      <w:ind w:firstLine="709" w:left="1066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qFormat/>
    <w:pPr>
      <w:spacing w:before="0" w:after="0"/>
      <w:ind w:hanging="0" w:left="72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qFormat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qFormat/>
    <w:pPr>
      <w:pBdr>
        <w:bottom w:val="single" w:sz="4" w:space="4" w:color="4F81BD"/>
      </w:pBdr>
      <w:spacing w:before="200" w:after="280"/>
      <w:ind w:hanging="0" w:left="936" w:right="936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basedOn w:val="Heading1"/>
    <w:next w:val="Normal"/>
    <w:qFormat/>
    <w:pPr>
      <w:keepLines/>
      <w:spacing w:before="480" w:after="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qFormat/>
    <w:pPr/>
    <w:rPr>
      <w:rFonts w:eastAsia="Calibri"/>
      <w:sz w:val="24"/>
      <w:szCs w:val="24"/>
      <w:lang w:val="x-none" w:eastAsia="x-none"/>
    </w:rPr>
  </w:style>
  <w:style w:type="paragraph" w:styleId="Style28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>
    <w:name w:val="List Bullet 4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9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hanging="1134" w:left="1134" w:right="800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yle30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1" w:customStyle="1">
    <w:name w:val="Таблица шапка"/>
    <w:basedOn w:val="Normal"/>
    <w:qFormat/>
    <w:pPr>
      <w:keepNext w:val="true"/>
      <w:spacing w:before="40" w:after="40"/>
      <w:ind w:hanging="0" w:left="57" w:right="57"/>
    </w:pPr>
    <w:rPr>
      <w:sz w:val="22"/>
      <w:szCs w:val="26"/>
    </w:rPr>
  </w:style>
  <w:style w:type="paragraph" w:styleId="Style32" w:customStyle="1">
    <w:name w:val="Подподпункт"/>
    <w:basedOn w:val="Style24"/>
    <w:link w:val="Style9"/>
    <w:qFormat/>
    <w:pPr>
      <w:tabs>
        <w:tab w:val="clear" w:pos="1134"/>
        <w:tab w:val="left" w:pos="5104" w:leader="none"/>
      </w:tabs>
      <w:snapToGrid w:val="true"/>
      <w:spacing w:lineRule="auto" w:line="240" w:before="120" w:after="0"/>
      <w:ind w:hanging="567" w:left="5104"/>
    </w:pPr>
    <w:rPr>
      <w:sz w:val="26"/>
      <w:szCs w:val="26"/>
      <w:lang w:val="ru-RU" w:eastAsia="ru-RU"/>
    </w:rPr>
  </w:style>
  <w:style w:type="paragraph" w:styleId="Style33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4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tabs>
        <w:tab w:val="clear" w:pos="0"/>
        <w:tab w:val="clear" w:pos="735"/>
        <w:tab w:val="clear" w:pos="960"/>
        <w:tab w:val="left" w:pos="567" w:leader="none"/>
      </w:tabs>
      <w:spacing w:before="480" w:after="240"/>
      <w:ind w:hanging="567" w:left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5" w:customStyle="1">
    <w:name w:val="Таблица текст"/>
    <w:basedOn w:val="Normal"/>
    <w:qFormat/>
    <w:pPr>
      <w:spacing w:before="40" w:after="40"/>
      <w:ind w:hanging="0" w:left="57" w:right="57"/>
    </w:pPr>
    <w:rPr>
      <w:sz w:val="24"/>
      <w:szCs w:val="26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hanging="0" w:left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pPr>
      <w:ind w:hanging="0" w:left="1120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next w:val="Normal"/>
    <w:autoRedefine/>
    <w:pPr>
      <w:ind w:hanging="0" w:left="1400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next w:val="Normal"/>
    <w:autoRedefine/>
    <w:pPr>
      <w:ind w:hanging="0" w:left="1680"/>
    </w:pPr>
    <w:rPr>
      <w:rFonts w:ascii="Calibri" w:hAnsi="Calibri" w:cs="Calibri"/>
      <w:sz w:val="20"/>
      <w:szCs w:val="20"/>
    </w:rPr>
  </w:style>
  <w:style w:type="paragraph" w:styleId="Toaheading">
    <w:name w:val="toa heading"/>
    <w:basedOn w:val="Normal"/>
    <w:next w:val="Normal"/>
    <w:qFormat/>
    <w:pPr>
      <w:spacing w:before="120" w:after="0"/>
    </w:pPr>
    <w:rPr>
      <w:rFonts w:ascii="Calibri Light" w:hAnsi="Calibri Light"/>
      <w:b/>
      <w:bCs/>
      <w:sz w:val="24"/>
      <w:szCs w:val="24"/>
    </w:rPr>
  </w:style>
  <w:style w:type="paragraph" w:styleId="Style36" w:customStyle="1">
    <w:name w:val="Содержимое врезки"/>
    <w:basedOn w:val="Normal"/>
    <w:qFormat/>
    <w:pPr/>
    <w:rPr/>
  </w:style>
  <w:style w:type="paragraph" w:styleId="Style37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8" w:customStyle="1">
    <w:name w:val="Заголовок таблицы"/>
    <w:basedOn w:val="Style37"/>
    <w:qFormat/>
    <w:pPr>
      <w:jc w:val="center"/>
    </w:pPr>
    <w:rPr>
      <w:b/>
      <w:bCs/>
    </w:rPr>
  </w:style>
  <w:style w:type="paragraph" w:styleId="Style39" w:customStyle="1">
    <w:name w:val="Текст в заданном формате"/>
    <w:basedOn w:val="Normal"/>
    <w:qFormat/>
    <w:pPr/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qFormat/>
  </w:style>
  <w:style w:type="numbering" w:styleId="29" w:customStyle="1">
    <w:name w:val="Стиль2"/>
    <w:qFormat/>
  </w:style>
  <w:style w:type="numbering" w:styleId="19494784021" w:customStyle="1">
    <w:name w:val="19494784021"/>
    <w:qFormat/>
  </w:style>
  <w:style w:type="numbering" w:styleId="883559781" w:customStyle="1">
    <w:name w:val="883559781"/>
    <w:qFormat/>
  </w:style>
  <w:style w:type="numbering" w:styleId="40441101011" w:customStyle="1">
    <w:name w:val="40441101011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footer" Target="footer4.xml"/><Relationship Id="rId11" Type="http://schemas.openxmlformats.org/officeDocument/2006/relationships/footer" Target="footer5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Application>AlterOffice/2026.2.1.0$Linux_X86_64 LibreOffice_project/f008988ffacaa0b2bf57911c2759d08ca79831df</Application>
  <AppVersion>15.0000</AppVersion>
  <Pages>15</Pages>
  <Words>3130</Words>
  <Characters>21585</Characters>
  <CharactersWithSpaces>24378</CharactersWithSpaces>
  <Paragraphs>349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2026-07-14T04:32:00Z</dcterms:created>
  <dc:creator>Быстров Олег Геннадьевич</dc:creator>
  <dc:description/>
  <dc:language>ru-RU</dc:language>
  <cp:lastModifiedBy>velikosvyatnn@corp.gidroogk.com</cp:lastModifiedBy>
  <cp:lastPrinted>2026-06-18T11:53:00Z</cp:lastPrinted>
  <dcterms:modified xsi:type="dcterms:W3CDTF">2026-08-24T15:28:06Z</dcterms:modified>
  <cp:revision>16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